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B3" w:rsidRDefault="009A0EB3" w:rsidP="00816E4C">
      <w:pPr>
        <w:pStyle w:val="Heading4"/>
      </w:pPr>
      <w:bookmarkStart w:id="0" w:name="_GoBack"/>
      <w:bookmarkEnd w:id="0"/>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60602C"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JUNE</w:t>
      </w:r>
      <w:r w:rsidR="001D4399">
        <w:rPr>
          <w:rFonts w:ascii="Palatino Linotype" w:hAnsi="Palatino Linotype"/>
          <w:b/>
          <w:color w:val="000080"/>
          <w:sz w:val="22"/>
          <w:szCs w:val="22"/>
        </w:rPr>
        <w:t xml:space="preserve"> </w:t>
      </w:r>
      <w:r w:rsidR="00074803">
        <w:rPr>
          <w:rFonts w:ascii="Palatino Linotype" w:hAnsi="Palatino Linotype"/>
          <w:b/>
          <w:color w:val="000080"/>
          <w:sz w:val="22"/>
          <w:szCs w:val="22"/>
        </w:rPr>
        <w:t>2</w:t>
      </w:r>
      <w:r w:rsidR="009B7E61">
        <w:rPr>
          <w:rFonts w:ascii="Palatino Linotype" w:hAnsi="Palatino Linotype"/>
          <w:b/>
          <w:color w:val="000080"/>
          <w:sz w:val="22"/>
          <w:szCs w:val="22"/>
        </w:rPr>
        <w:t>02</w:t>
      </w:r>
      <w:r w:rsidR="002361F1">
        <w:rPr>
          <w:rFonts w:ascii="Palatino Linotype" w:hAnsi="Palatino Linotype"/>
          <w:b/>
          <w:color w:val="000080"/>
          <w:sz w:val="22"/>
          <w:szCs w:val="22"/>
        </w:rPr>
        <w:t>1</w:t>
      </w:r>
      <w:r w:rsidR="008E4467">
        <w:rPr>
          <w:rFonts w:ascii="Palatino Linotype" w:hAnsi="Palatino Linotype"/>
          <w:b/>
          <w:color w:val="000080"/>
          <w:sz w:val="22"/>
          <w:szCs w:val="22"/>
        </w:rPr>
        <w:t xml:space="preserve">   VOL. 1</w:t>
      </w:r>
      <w:r w:rsidR="002361F1">
        <w:rPr>
          <w:rFonts w:ascii="Palatino Linotype" w:hAnsi="Palatino Linotype"/>
          <w:b/>
          <w:color w:val="000080"/>
          <w:sz w:val="22"/>
          <w:szCs w:val="22"/>
        </w:rPr>
        <w:t>9</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sidR="002361F1">
        <w:rPr>
          <w:rFonts w:ascii="Palatino Linotype" w:hAnsi="Palatino Linotype"/>
          <w:b/>
          <w:color w:val="FF0000"/>
          <w:sz w:val="22"/>
          <w:szCs w:val="22"/>
        </w:rPr>
        <w:t>0</w:t>
      </w:r>
      <w:r w:rsidR="002F2984">
        <w:rPr>
          <w:rFonts w:ascii="Palatino Linotype" w:hAnsi="Palatino Linotype"/>
          <w:b/>
          <w:color w:val="FF0000"/>
          <w:sz w:val="22"/>
          <w:szCs w:val="22"/>
        </w:rPr>
        <w:t>6</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Pr="009A0EB3" w:rsidRDefault="002E18B1"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434487" w:rsidRPr="009A0EB3" w:rsidRDefault="0043448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rsidR="002C3645" w:rsidRPr="009A0EB3" w:rsidRDefault="002C3645" w:rsidP="002C3645">
      <w:pPr>
        <w:spacing w:line="20" w:lineRule="atLeast"/>
        <w:jc w:val="both"/>
        <w:rPr>
          <w:rFonts w:ascii="Palatino Linotype" w:hAnsi="Palatino Linotype"/>
          <w:color w:val="FF0000"/>
          <w:sz w:val="22"/>
          <w:szCs w:val="22"/>
        </w:rPr>
      </w:pPr>
    </w:p>
    <w:p w:rsidR="009A0EB3" w:rsidRPr="009A0EB3" w:rsidRDefault="009A0EB3" w:rsidP="002C3645">
      <w:pPr>
        <w:spacing w:line="20" w:lineRule="atLeast"/>
        <w:rPr>
          <w:rFonts w:ascii="Palatino Linotype" w:hAnsi="Palatino Linotype"/>
          <w:b/>
          <w:sz w:val="22"/>
          <w:szCs w:val="22"/>
        </w:rPr>
      </w:pPr>
    </w:p>
    <w:p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r w:rsidRPr="00FE77E0">
        <w:rPr>
          <w:rFonts w:ascii="Palatino Linotype" w:eastAsia="Times New Roman" w:hAnsi="Palatino Linotype"/>
          <w:b/>
          <w:sz w:val="22"/>
          <w:szCs w:val="22"/>
        </w:rPr>
        <w:t>Amarjeet Singh</w:t>
      </w:r>
      <w:r w:rsidRPr="009A0EB3">
        <w:rPr>
          <w:rFonts w:ascii="Palatino Linotype" w:hAnsi="Palatino Linotype"/>
          <w:b/>
          <w:sz w:val="22"/>
          <w:szCs w:val="22"/>
        </w:rPr>
        <w:t xml:space="preserve"> </w:t>
      </w:r>
    </w:p>
    <w:p w:rsidR="002C3645" w:rsidRDefault="002C3645" w:rsidP="002C3645">
      <w:pPr>
        <w:spacing w:line="20" w:lineRule="atLeast"/>
        <w:jc w:val="both"/>
        <w:outlineLvl w:val="0"/>
        <w:rPr>
          <w:rFonts w:ascii="Palatino Linotype" w:hAnsi="Palatino Linotype"/>
          <w:b/>
          <w:sz w:val="22"/>
          <w:szCs w:val="22"/>
        </w:rPr>
      </w:pPr>
      <w:r w:rsidRPr="009A0EB3">
        <w:rPr>
          <w:rFonts w:ascii="Palatino Linotype" w:hAnsi="Palatino Linotype"/>
          <w:b/>
          <w:sz w:val="22"/>
          <w:szCs w:val="22"/>
        </w:rPr>
        <w:t xml:space="preserve">Dr. </w:t>
      </w:r>
      <w:r w:rsidR="004A4D62">
        <w:rPr>
          <w:rFonts w:ascii="Palatino Linotype" w:hAnsi="Palatino Linotype"/>
          <w:b/>
          <w:sz w:val="22"/>
          <w:szCs w:val="22"/>
        </w:rPr>
        <w:t xml:space="preserve"> </w:t>
      </w:r>
      <w:r w:rsidRPr="009A0EB3">
        <w:rPr>
          <w:rFonts w:ascii="Palatino Linotype" w:hAnsi="Palatino Linotype"/>
          <w:b/>
          <w:sz w:val="22"/>
          <w:szCs w:val="22"/>
        </w:rPr>
        <w:t>Prabhakar R. Patil</w:t>
      </w:r>
    </w:p>
    <w:p w:rsidR="00E71481"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 Prabhas Rath</w:t>
      </w:r>
    </w:p>
    <w:p w:rsidR="00012FAA" w:rsidRPr="009A0EB3" w:rsidRDefault="00012FAA"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Sangeeta Rathod</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Deepthi L.S.</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Dr.</w:t>
      </w:r>
      <w:r w:rsidR="002C3645" w:rsidRPr="009A0EB3">
        <w:rPr>
          <w:rFonts w:ascii="Palatino Linotype" w:hAnsi="Palatino Linotype"/>
          <w:b/>
          <w:sz w:val="22"/>
          <w:szCs w:val="22"/>
        </w:rPr>
        <w:t xml:space="preserve"> </w:t>
      </w:r>
      <w:r>
        <w:rPr>
          <w:rFonts w:ascii="Palatino Linotype" w:hAnsi="Palatino Linotype"/>
          <w:b/>
          <w:sz w:val="22"/>
          <w:szCs w:val="22"/>
        </w:rPr>
        <w:t xml:space="preserve"> Deepali Dixit</w:t>
      </w:r>
    </w:p>
    <w:p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r w:rsidR="00FD1851">
        <w:rPr>
          <w:rFonts w:ascii="Palatino Linotype" w:hAnsi="Palatino Linotype"/>
          <w:b/>
          <w:sz w:val="22"/>
          <w:szCs w:val="22"/>
        </w:rPr>
        <w:t>Jitendra Kumar</w:t>
      </w:r>
    </w:p>
    <w:p w:rsidR="002C3645" w:rsidRPr="009A0EB3" w:rsidRDefault="002C3645" w:rsidP="002C3645">
      <w:pPr>
        <w:spacing w:line="20" w:lineRule="atLeast"/>
        <w:jc w:val="both"/>
        <w:outlineLvl w:val="0"/>
        <w:rPr>
          <w:rFonts w:ascii="Palatino Linotype" w:hAnsi="Palatino Linotype"/>
          <w:b/>
          <w:sz w:val="22"/>
          <w:szCs w:val="22"/>
        </w:rPr>
      </w:pPr>
    </w:p>
    <w:p w:rsidR="002C3645" w:rsidRPr="009A0EB3" w:rsidRDefault="002C3645" w:rsidP="002C3645">
      <w:pPr>
        <w:spacing w:line="20" w:lineRule="atLeast"/>
        <w:jc w:val="both"/>
        <w:rPr>
          <w:rFonts w:ascii="Palatino Linotype" w:hAnsi="Palatino Linotype"/>
          <w:sz w:val="22"/>
          <w:szCs w:val="22"/>
        </w:rPr>
      </w:pPr>
    </w:p>
    <w:p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7"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r w:rsidR="00E71481" w:rsidRPr="00E71481">
        <w:rPr>
          <w:rFonts w:ascii="Palatino Linotype" w:hAnsi="Palatino Linotype"/>
          <w:bCs/>
          <w:sz w:val="22"/>
          <w:szCs w:val="22"/>
        </w:rPr>
        <w:t xml:space="preserve">Further,  soft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8" w:history="1">
        <w:r w:rsidRPr="009A0EB3">
          <w:rPr>
            <w:rFonts w:ascii="Palatino Linotype" w:hAnsi="Palatino Linotype"/>
            <w:bCs/>
            <w:sz w:val="22"/>
            <w:szCs w:val="22"/>
          </w:rPr>
          <w:t>bulletin@sebi.gov.in</w:t>
        </w:r>
      </w:hyperlink>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Pr="009A0EB3" w:rsidRDefault="000254CD"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EB52C5" w:rsidRDefault="00EB52C5" w:rsidP="00B25DA6">
      <w:pPr>
        <w:jc w:val="center"/>
        <w:outlineLvl w:val="0"/>
        <w:rPr>
          <w:rFonts w:ascii="Palatino Linotype" w:hAnsi="Palatino Linotype" w:cs="Helvetica"/>
          <w:b/>
          <w:color w:val="000099"/>
          <w:sz w:val="22"/>
          <w:szCs w:val="22"/>
        </w:rPr>
      </w:pPr>
    </w:p>
    <w:p w:rsidR="00EB52C5" w:rsidRPr="009A0EB3" w:rsidRDefault="00EB52C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2C1136" w:rsidRDefault="002C1136" w:rsidP="00A36146">
      <w:pPr>
        <w:spacing w:line="20" w:lineRule="atLeast"/>
        <w:jc w:val="both"/>
        <w:rPr>
          <w:rFonts w:ascii="Palatino Linotype" w:hAnsi="Palatino Linotype"/>
          <w:b/>
          <w:color w:val="0000FF"/>
          <w:sz w:val="22"/>
          <w:szCs w:val="22"/>
        </w:rPr>
      </w:pPr>
    </w:p>
    <w:p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lastRenderedPageBreak/>
        <w:t>CAPITAL MARKET REVIEW</w:t>
      </w:r>
    </w:p>
    <w:p w:rsidR="007547DA" w:rsidRPr="009A0EB3" w:rsidRDefault="007547DA" w:rsidP="007547DA">
      <w:pPr>
        <w:jc w:val="center"/>
        <w:outlineLvl w:val="0"/>
        <w:rPr>
          <w:rFonts w:ascii="Palatino Linotype" w:hAnsi="Palatino Linotype" w:cs="Helvetica"/>
          <w:b/>
          <w:color w:val="000099"/>
          <w:sz w:val="22"/>
          <w:szCs w:val="22"/>
        </w:rPr>
      </w:pPr>
    </w:p>
    <w:p w:rsidR="003B1F08" w:rsidRDefault="003B1F08" w:rsidP="003F4581">
      <w:pPr>
        <w:widowControl w:val="0"/>
        <w:ind w:left="-284"/>
        <w:jc w:val="both"/>
        <w:rPr>
          <w:rFonts w:ascii="Palatino Linotype" w:hAnsi="Palatino Linotype"/>
          <w:b/>
          <w:color w:val="0F0684"/>
        </w:rPr>
      </w:pPr>
    </w:p>
    <w:p w:rsidR="002F2984" w:rsidRPr="002357A9" w:rsidRDefault="002F2984" w:rsidP="002F2984">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 xml:space="preserve">Trends in Resource Mobilisation by Corporates  </w:t>
      </w:r>
    </w:p>
    <w:p w:rsidR="002F2984" w:rsidRPr="002357A9" w:rsidRDefault="002F2984" w:rsidP="002F2984">
      <w:pPr>
        <w:widowControl w:val="0"/>
        <w:spacing w:line="276" w:lineRule="auto"/>
        <w:jc w:val="both"/>
        <w:rPr>
          <w:rFonts w:ascii="Palatino Linotype" w:eastAsia="Palatino Linotype" w:hAnsi="Palatino Linotype" w:cs="Palatino Linotype"/>
          <w:b/>
          <w:color w:val="2E74B5"/>
          <w:sz w:val="22"/>
          <w:szCs w:val="22"/>
          <w:highlight w:val="yellow"/>
        </w:rPr>
      </w:pPr>
    </w:p>
    <w:p w:rsidR="002F2984" w:rsidRDefault="002F2984" w:rsidP="002F2984">
      <w:pPr>
        <w:widowControl w:val="0"/>
        <w:spacing w:line="276" w:lineRule="auto"/>
        <w:ind w:left="993"/>
        <w:jc w:val="both"/>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Table 1: Fund Mobilisation by Corporates (</w:t>
      </w:r>
      <w:r>
        <w:rPr>
          <w:rFonts w:ascii="Times New Roman" w:eastAsia="Tahoma" w:hAnsi="Times New Roman"/>
          <w:b/>
          <w:sz w:val="22"/>
          <w:szCs w:val="22"/>
        </w:rPr>
        <w:t xml:space="preserve">₹ </w:t>
      </w:r>
      <w:r w:rsidRPr="002357A9">
        <w:rPr>
          <w:rFonts w:ascii="Palatino Linotype" w:eastAsia="Palatino Linotype" w:hAnsi="Palatino Linotype" w:cs="Palatino Linotype"/>
          <w:b/>
          <w:sz w:val="22"/>
          <w:szCs w:val="22"/>
        </w:rPr>
        <w:t xml:space="preserve">crore) </w:t>
      </w:r>
    </w:p>
    <w:p w:rsidR="0051670E" w:rsidRPr="002357A9" w:rsidRDefault="002F2984" w:rsidP="0051670E">
      <w:pPr>
        <w:widowControl w:val="0"/>
        <w:tabs>
          <w:tab w:val="right" w:pos="9888"/>
        </w:tabs>
        <w:spacing w:line="276" w:lineRule="auto"/>
        <w:ind w:left="567"/>
        <w:jc w:val="both"/>
        <w:rPr>
          <w:rFonts w:ascii="Palatino Linotype" w:eastAsia="Palatino Linotype" w:hAnsi="Palatino Linotype" w:cs="Palatino Linotype"/>
          <w:b/>
          <w:sz w:val="18"/>
          <w:szCs w:val="18"/>
        </w:rPr>
      </w:pPr>
      <w:r w:rsidRPr="002357A9">
        <w:rPr>
          <w:rFonts w:ascii="Palatino Linotype" w:eastAsia="Palatino Linotype" w:hAnsi="Palatino Linotype" w:cs="Palatino Linotype"/>
          <w:b/>
          <w:sz w:val="18"/>
          <w:szCs w:val="18"/>
        </w:rPr>
        <w:t xml:space="preserve"> </w:t>
      </w:r>
    </w:p>
    <w:tbl>
      <w:tblPr>
        <w:tblW w:w="7340" w:type="dxa"/>
        <w:tblLook w:val="04A0" w:firstRow="1" w:lastRow="0" w:firstColumn="1" w:lastColumn="0" w:noHBand="0" w:noVBand="1"/>
      </w:tblPr>
      <w:tblGrid>
        <w:gridCol w:w="5140"/>
        <w:gridCol w:w="1100"/>
        <w:gridCol w:w="1100"/>
      </w:tblGrid>
      <w:tr w:rsidR="0051670E" w:rsidRPr="0051670E" w:rsidTr="0051670E">
        <w:trPr>
          <w:trHeight w:val="315"/>
        </w:trPr>
        <w:tc>
          <w:tcPr>
            <w:tcW w:w="5140" w:type="dxa"/>
            <w:tcBorders>
              <w:top w:val="single" w:sz="4" w:space="0" w:color="000000"/>
              <w:left w:val="single" w:sz="4" w:space="0" w:color="000000"/>
              <w:bottom w:val="single" w:sz="4" w:space="0" w:color="000000"/>
              <w:right w:val="single" w:sz="4" w:space="0" w:color="000000"/>
            </w:tcBorders>
            <w:shd w:val="clear" w:color="A9D08E" w:fill="A9D08E"/>
            <w:noWrap/>
            <w:vAlign w:val="center"/>
            <w:hideMark/>
          </w:tcPr>
          <w:p w:rsidR="0051670E" w:rsidRPr="0051670E" w:rsidRDefault="0051670E" w:rsidP="0051670E">
            <w:pPr>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Particulars</w:t>
            </w:r>
          </w:p>
        </w:tc>
        <w:tc>
          <w:tcPr>
            <w:tcW w:w="1100" w:type="dxa"/>
            <w:tcBorders>
              <w:top w:val="single" w:sz="4" w:space="0" w:color="000000"/>
              <w:left w:val="nil"/>
              <w:bottom w:val="single" w:sz="4" w:space="0" w:color="000000"/>
              <w:right w:val="single" w:sz="4" w:space="0" w:color="000000"/>
            </w:tcBorders>
            <w:shd w:val="clear" w:color="A9D08E" w:fill="A9D08E"/>
            <w:noWrap/>
            <w:vAlign w:val="center"/>
            <w:hideMark/>
          </w:tcPr>
          <w:p w:rsidR="0051670E" w:rsidRPr="0051670E" w:rsidRDefault="0051670E" w:rsidP="0051670E">
            <w:pPr>
              <w:jc w:val="right"/>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Apr-21</w:t>
            </w:r>
          </w:p>
        </w:tc>
        <w:tc>
          <w:tcPr>
            <w:tcW w:w="1100" w:type="dxa"/>
            <w:tcBorders>
              <w:top w:val="single" w:sz="4" w:space="0" w:color="000000"/>
              <w:left w:val="nil"/>
              <w:bottom w:val="single" w:sz="4" w:space="0" w:color="000000"/>
              <w:right w:val="single" w:sz="4" w:space="0" w:color="000000"/>
            </w:tcBorders>
            <w:shd w:val="clear" w:color="A9D08E" w:fill="A9D08E"/>
            <w:noWrap/>
            <w:vAlign w:val="center"/>
            <w:hideMark/>
          </w:tcPr>
          <w:p w:rsidR="0051670E" w:rsidRPr="0051670E" w:rsidRDefault="0051670E" w:rsidP="0051670E">
            <w:pPr>
              <w:jc w:val="right"/>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May-21</w:t>
            </w:r>
          </w:p>
        </w:tc>
      </w:tr>
      <w:tr w:rsidR="0051670E" w:rsidRPr="0051670E" w:rsidTr="0051670E">
        <w:trPr>
          <w:trHeight w:val="315"/>
        </w:trPr>
        <w:tc>
          <w:tcPr>
            <w:tcW w:w="5140" w:type="dxa"/>
            <w:tcBorders>
              <w:top w:val="nil"/>
              <w:left w:val="single" w:sz="4" w:space="0" w:color="000000"/>
              <w:bottom w:val="single" w:sz="4" w:space="0" w:color="000000"/>
              <w:right w:val="nil"/>
            </w:tcBorders>
            <w:shd w:val="clear" w:color="auto" w:fill="auto"/>
            <w:vAlign w:val="center"/>
            <w:hideMark/>
          </w:tcPr>
          <w:p w:rsidR="0051670E" w:rsidRPr="0051670E" w:rsidRDefault="0051670E" w:rsidP="0051670E">
            <w:pPr>
              <w:rPr>
                <w:rFonts w:ascii="Garamond" w:eastAsia="Times New Roman" w:hAnsi="Garamond"/>
                <w:b/>
                <w:bCs/>
                <w:i/>
                <w:iCs/>
                <w:color w:val="000000"/>
                <w:sz w:val="22"/>
                <w:szCs w:val="22"/>
                <w:lang w:val="en-IN" w:eastAsia="en-IN" w:bidi="hi-IN"/>
              </w:rPr>
            </w:pPr>
            <w:r w:rsidRPr="0051670E">
              <w:rPr>
                <w:rFonts w:ascii="Garamond" w:eastAsia="Times New Roman" w:hAnsi="Garamond"/>
                <w:b/>
                <w:bCs/>
                <w:i/>
                <w:iCs/>
                <w:color w:val="000000"/>
                <w:sz w:val="22"/>
                <w:szCs w:val="22"/>
                <w:lang w:val="en-IN" w:eastAsia="en-IN" w:bidi="hi-IN"/>
              </w:rPr>
              <w:t>I. Equity Issue</w:t>
            </w:r>
          </w:p>
        </w:tc>
        <w:tc>
          <w:tcPr>
            <w:tcW w:w="110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16,408</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9,470</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a. IPOs (i+ii)</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3,009</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1</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i/>
                <w:iCs/>
                <w:color w:val="000000"/>
                <w:sz w:val="22"/>
                <w:szCs w:val="22"/>
                <w:lang w:val="en-IN" w:eastAsia="en-IN" w:bidi="hi-IN"/>
              </w:rPr>
            </w:pPr>
            <w:r w:rsidRPr="0051670E">
              <w:rPr>
                <w:rFonts w:ascii="Garamond" w:eastAsia="Times New Roman" w:hAnsi="Garamond"/>
                <w:i/>
                <w:iCs/>
                <w:color w:val="000000"/>
                <w:sz w:val="22"/>
                <w:szCs w:val="22"/>
                <w:lang w:val="en-IN" w:eastAsia="en-IN" w:bidi="hi-IN"/>
              </w:rPr>
              <w:t xml:space="preserve">    i. Main Board</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2,953</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0</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i/>
                <w:iCs/>
                <w:color w:val="000000"/>
                <w:sz w:val="22"/>
                <w:szCs w:val="22"/>
                <w:lang w:val="en-IN" w:eastAsia="en-IN" w:bidi="hi-IN"/>
              </w:rPr>
            </w:pPr>
            <w:r w:rsidRPr="0051670E">
              <w:rPr>
                <w:rFonts w:ascii="Garamond" w:eastAsia="Times New Roman" w:hAnsi="Garamond"/>
                <w:i/>
                <w:iCs/>
                <w:color w:val="000000"/>
                <w:sz w:val="22"/>
                <w:szCs w:val="22"/>
                <w:lang w:val="en-IN" w:eastAsia="en-IN" w:bidi="hi-IN"/>
              </w:rPr>
              <w:t xml:space="preserve">    ii. SME Platform</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56</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1</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b. FPOs</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0</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0</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c. Equity Rights Issue</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280</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25</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d. QIP/IPP</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4,010</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3,847</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e. Preferential Allotment</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9,110</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5,596</w:t>
            </w:r>
          </w:p>
        </w:tc>
      </w:tr>
      <w:tr w:rsidR="0051670E" w:rsidRPr="0051670E" w:rsidTr="0051670E">
        <w:trPr>
          <w:trHeight w:val="315"/>
        </w:trPr>
        <w:tc>
          <w:tcPr>
            <w:tcW w:w="5140" w:type="dxa"/>
            <w:tcBorders>
              <w:top w:val="nil"/>
              <w:left w:val="single" w:sz="4" w:space="0" w:color="000000"/>
              <w:bottom w:val="single" w:sz="4" w:space="0" w:color="000000"/>
              <w:right w:val="nil"/>
            </w:tcBorders>
            <w:shd w:val="clear" w:color="auto" w:fill="auto"/>
            <w:vAlign w:val="center"/>
            <w:hideMark/>
          </w:tcPr>
          <w:p w:rsidR="0051670E" w:rsidRPr="0051670E" w:rsidRDefault="0051670E" w:rsidP="0051670E">
            <w:pPr>
              <w:rPr>
                <w:rFonts w:ascii="Garamond" w:eastAsia="Times New Roman" w:hAnsi="Garamond"/>
                <w:b/>
                <w:bCs/>
                <w:i/>
                <w:iCs/>
                <w:color w:val="000000"/>
                <w:sz w:val="22"/>
                <w:szCs w:val="22"/>
                <w:lang w:val="en-IN" w:eastAsia="en-IN" w:bidi="hi-IN"/>
              </w:rPr>
            </w:pPr>
            <w:r w:rsidRPr="0051670E">
              <w:rPr>
                <w:rFonts w:ascii="Garamond" w:eastAsia="Times New Roman" w:hAnsi="Garamond"/>
                <w:b/>
                <w:bCs/>
                <w:i/>
                <w:iCs/>
                <w:color w:val="000000"/>
                <w:sz w:val="22"/>
                <w:szCs w:val="22"/>
                <w:lang w:val="en-IN" w:eastAsia="en-IN" w:bidi="hi-IN"/>
              </w:rPr>
              <w:t xml:space="preserve">II. Debt Issue </w:t>
            </w:r>
          </w:p>
        </w:tc>
        <w:tc>
          <w:tcPr>
            <w:tcW w:w="110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34,326</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22,887</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a. Debt Public Issue</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2,316</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1,265</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b. Private Placement of Debt</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 xml:space="preserve">      32,010 </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color w:val="000000"/>
                <w:sz w:val="22"/>
                <w:szCs w:val="22"/>
                <w:lang w:val="en-IN" w:eastAsia="en-IN" w:bidi="hi-IN"/>
              </w:rPr>
            </w:pPr>
            <w:r w:rsidRPr="0051670E">
              <w:rPr>
                <w:rFonts w:ascii="Garamond" w:eastAsia="Times New Roman" w:hAnsi="Garamond"/>
                <w:color w:val="000000"/>
                <w:sz w:val="22"/>
                <w:szCs w:val="22"/>
                <w:lang w:val="en-IN" w:eastAsia="en-IN" w:bidi="hi-IN"/>
              </w:rPr>
              <w:t xml:space="preserve">      21,622 </w:t>
            </w:r>
          </w:p>
        </w:tc>
      </w:tr>
      <w:tr w:rsidR="0051670E" w:rsidRPr="0051670E" w:rsidTr="0051670E">
        <w:trPr>
          <w:trHeight w:val="315"/>
        </w:trPr>
        <w:tc>
          <w:tcPr>
            <w:tcW w:w="5140" w:type="dxa"/>
            <w:tcBorders>
              <w:top w:val="nil"/>
              <w:left w:val="single" w:sz="4" w:space="0" w:color="000000"/>
              <w:bottom w:val="single" w:sz="4" w:space="0" w:color="000000"/>
              <w:right w:val="single" w:sz="4" w:space="0" w:color="000000"/>
            </w:tcBorders>
            <w:shd w:val="clear" w:color="auto" w:fill="auto"/>
            <w:noWrap/>
            <w:vAlign w:val="center"/>
            <w:hideMark/>
          </w:tcPr>
          <w:p w:rsidR="0051670E" w:rsidRPr="0051670E" w:rsidRDefault="0051670E" w:rsidP="0051670E">
            <w:pPr>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Total Funds Mobilised (I+II)</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50,734</w:t>
            </w:r>
          </w:p>
        </w:tc>
        <w:tc>
          <w:tcPr>
            <w:tcW w:w="1100" w:type="dxa"/>
            <w:tcBorders>
              <w:top w:val="nil"/>
              <w:left w:val="nil"/>
              <w:bottom w:val="single" w:sz="4" w:space="0" w:color="000000"/>
              <w:right w:val="single" w:sz="4" w:space="0" w:color="000000"/>
            </w:tcBorders>
            <w:shd w:val="clear" w:color="auto" w:fill="auto"/>
            <w:noWrap/>
            <w:vAlign w:val="center"/>
            <w:hideMark/>
          </w:tcPr>
          <w:p w:rsidR="0051670E" w:rsidRPr="0051670E" w:rsidRDefault="0051670E" w:rsidP="0051670E">
            <w:pPr>
              <w:jc w:val="right"/>
              <w:rPr>
                <w:rFonts w:ascii="Garamond" w:eastAsia="Times New Roman" w:hAnsi="Garamond"/>
                <w:b/>
                <w:bCs/>
                <w:color w:val="000000"/>
                <w:sz w:val="22"/>
                <w:szCs w:val="22"/>
                <w:lang w:val="en-IN" w:eastAsia="en-IN" w:bidi="hi-IN"/>
              </w:rPr>
            </w:pPr>
            <w:r w:rsidRPr="0051670E">
              <w:rPr>
                <w:rFonts w:ascii="Garamond" w:eastAsia="Times New Roman" w:hAnsi="Garamond"/>
                <w:b/>
                <w:bCs/>
                <w:color w:val="000000"/>
                <w:sz w:val="22"/>
                <w:szCs w:val="22"/>
                <w:lang w:val="en-IN" w:eastAsia="en-IN" w:bidi="hi-IN"/>
              </w:rPr>
              <w:t>32,357</w:t>
            </w:r>
          </w:p>
        </w:tc>
      </w:tr>
    </w:tbl>
    <w:p w:rsidR="002F2984" w:rsidRPr="002357A9" w:rsidRDefault="002F2984" w:rsidP="0051670E">
      <w:pPr>
        <w:widowControl w:val="0"/>
        <w:tabs>
          <w:tab w:val="right" w:pos="9888"/>
        </w:tabs>
        <w:spacing w:line="276" w:lineRule="auto"/>
        <w:ind w:left="567"/>
        <w:jc w:val="both"/>
        <w:rPr>
          <w:rFonts w:ascii="Palatino Linotype" w:eastAsia="Palatino Linotype" w:hAnsi="Palatino Linotype" w:cs="Palatino Linotype"/>
          <w:b/>
          <w:sz w:val="18"/>
          <w:szCs w:val="18"/>
        </w:rPr>
      </w:pPr>
      <w:r w:rsidRPr="002357A9">
        <w:rPr>
          <w:rFonts w:ascii="Palatino Linotype" w:eastAsia="Palatino Linotype" w:hAnsi="Palatino Linotype" w:cs="Palatino Linotype"/>
          <w:b/>
          <w:sz w:val="18"/>
          <w:szCs w:val="18"/>
        </w:rPr>
        <w:t>Source: SEBI, NSE, BSE and MSEI</w:t>
      </w:r>
    </w:p>
    <w:p w:rsidR="002F2984" w:rsidRPr="002357A9" w:rsidRDefault="002F2984" w:rsidP="002F2984">
      <w:pPr>
        <w:widowControl w:val="0"/>
        <w:tabs>
          <w:tab w:val="right" w:pos="9888"/>
        </w:tabs>
        <w:spacing w:line="276" w:lineRule="auto"/>
        <w:jc w:val="both"/>
        <w:rPr>
          <w:rFonts w:ascii="Palatino Linotype" w:eastAsia="Palatino Linotype" w:hAnsi="Palatino Linotype" w:cs="Palatino Linotype"/>
          <w:b/>
          <w:sz w:val="22"/>
          <w:szCs w:val="22"/>
          <w:highlight w:val="yellow"/>
        </w:rPr>
      </w:pPr>
    </w:p>
    <w:p w:rsidR="002F2984"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357A9">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 xml:space="preserve">May </w:t>
      </w:r>
      <w:r w:rsidRPr="002357A9">
        <w:rPr>
          <w:rFonts w:ascii="Palatino Linotype" w:eastAsia="Palatino Linotype" w:hAnsi="Palatino Linotype" w:cs="Palatino Linotype"/>
          <w:sz w:val="22"/>
          <w:szCs w:val="22"/>
        </w:rPr>
        <w:t xml:space="preserve">2021, there </w:t>
      </w:r>
      <w:r>
        <w:rPr>
          <w:rFonts w:ascii="Palatino Linotype" w:eastAsia="Palatino Linotype" w:hAnsi="Palatino Linotype" w:cs="Palatino Linotype"/>
          <w:sz w:val="22"/>
          <w:szCs w:val="22"/>
        </w:rPr>
        <w:t>was no main</w:t>
      </w:r>
      <w:r w:rsidRPr="002357A9">
        <w:rPr>
          <w:rFonts w:ascii="Palatino Linotype" w:eastAsia="Palatino Linotype" w:hAnsi="Palatino Linotype" w:cs="Palatino Linotype"/>
          <w:sz w:val="22"/>
          <w:szCs w:val="22"/>
        </w:rPr>
        <w:t xml:space="preserve"> board </w:t>
      </w:r>
      <w:r w:rsidR="006439CA">
        <w:rPr>
          <w:rFonts w:ascii="Palatino Linotype" w:eastAsia="Palatino Linotype" w:hAnsi="Palatino Linotype" w:cs="Palatino Linotype"/>
          <w:sz w:val="22"/>
          <w:szCs w:val="22"/>
        </w:rPr>
        <w:t xml:space="preserve">IPO issue and </w:t>
      </w:r>
      <w:r w:rsidR="0051670E">
        <w:rPr>
          <w:rFonts w:ascii="Palatino Linotype" w:eastAsia="Palatino Linotype" w:hAnsi="Palatino Linotype" w:cs="Palatino Linotype"/>
          <w:sz w:val="22"/>
          <w:szCs w:val="22"/>
        </w:rPr>
        <w:t>one</w:t>
      </w:r>
      <w:r>
        <w:rPr>
          <w:rFonts w:ascii="Palatino Linotype" w:eastAsia="Palatino Linotype" w:hAnsi="Palatino Linotype" w:cs="Palatino Linotype"/>
          <w:sz w:val="22"/>
          <w:szCs w:val="22"/>
        </w:rPr>
        <w:t xml:space="preserve"> SME IPO</w:t>
      </w:r>
      <w:r w:rsidRPr="002357A9">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issue </w:t>
      </w:r>
      <w:r w:rsidRPr="002357A9">
        <w:rPr>
          <w:rFonts w:ascii="Palatino Linotype" w:eastAsia="Palatino Linotype" w:hAnsi="Palatino Linotype" w:cs="Palatino Linotype"/>
          <w:sz w:val="22"/>
          <w:szCs w:val="22"/>
        </w:rPr>
        <w:t xml:space="preserve">mobilising </w:t>
      </w:r>
      <w:r>
        <w:rPr>
          <w:rFonts w:ascii="Times New Roman" w:eastAsia="Palatino Linotype" w:hAnsi="Times New Roman"/>
          <w:sz w:val="22"/>
          <w:szCs w:val="22"/>
        </w:rPr>
        <w:t>₹</w:t>
      </w:r>
      <w:r>
        <w:rPr>
          <w:rFonts w:ascii="Garamond" w:hAnsi="Garamond"/>
          <w:color w:val="000000"/>
          <w:sz w:val="22"/>
          <w:szCs w:val="22"/>
        </w:rPr>
        <w:t xml:space="preserve">1 </w:t>
      </w:r>
      <w:r w:rsidRPr="002357A9">
        <w:rPr>
          <w:rFonts w:ascii="Palatino Linotype" w:eastAsia="Palatino Linotype" w:hAnsi="Palatino Linotype" w:cs="Palatino Linotype"/>
          <w:sz w:val="22"/>
          <w:szCs w:val="22"/>
        </w:rPr>
        <w:t>crore</w:t>
      </w:r>
      <w:r>
        <w:rPr>
          <w:rFonts w:ascii="Palatino Linotype" w:eastAsia="Palatino Linotype" w:hAnsi="Palatino Linotype" w:cs="Palatino Linotype"/>
          <w:sz w:val="22"/>
          <w:szCs w:val="22"/>
        </w:rPr>
        <w:t>, compared to two</w:t>
      </w:r>
      <w:r w:rsidRPr="002357A9">
        <w:rPr>
          <w:rFonts w:ascii="Palatino Linotype" w:eastAsia="Palatino Linotype" w:hAnsi="Palatino Linotype" w:cs="Palatino Linotype"/>
          <w:sz w:val="22"/>
          <w:szCs w:val="22"/>
        </w:rPr>
        <w:t xml:space="preserve"> main board IPO issues</w:t>
      </w:r>
      <w:r>
        <w:rPr>
          <w:rFonts w:ascii="Palatino Linotype" w:eastAsia="Palatino Linotype" w:hAnsi="Palatino Linotype" w:cs="Palatino Linotype"/>
          <w:sz w:val="22"/>
          <w:szCs w:val="22"/>
        </w:rPr>
        <w:t xml:space="preserve"> and five SME IPO</w:t>
      </w:r>
      <w:r w:rsidRPr="002357A9">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issues </w:t>
      </w:r>
      <w:r w:rsidRPr="002357A9">
        <w:rPr>
          <w:rFonts w:ascii="Palatino Linotype" w:eastAsia="Palatino Linotype" w:hAnsi="Palatino Linotype" w:cs="Palatino Linotype"/>
          <w:sz w:val="22"/>
          <w:szCs w:val="22"/>
        </w:rPr>
        <w:t xml:space="preserve">mobilising </w:t>
      </w:r>
      <w:r>
        <w:rPr>
          <w:rFonts w:ascii="Times New Roman" w:eastAsia="Palatino Linotype" w:hAnsi="Times New Roman"/>
          <w:sz w:val="22"/>
          <w:szCs w:val="22"/>
        </w:rPr>
        <w:t>₹</w:t>
      </w:r>
      <w:r>
        <w:rPr>
          <w:rFonts w:ascii="Garamond" w:hAnsi="Garamond"/>
          <w:color w:val="000000"/>
          <w:sz w:val="22"/>
          <w:szCs w:val="22"/>
        </w:rPr>
        <w:t xml:space="preserve">2,953 </w:t>
      </w:r>
      <w:r w:rsidRPr="002357A9">
        <w:rPr>
          <w:rFonts w:ascii="Palatino Linotype" w:eastAsia="Palatino Linotype" w:hAnsi="Palatino Linotype" w:cs="Palatino Linotype"/>
          <w:sz w:val="22"/>
          <w:szCs w:val="22"/>
        </w:rPr>
        <w:t>crore</w:t>
      </w:r>
      <w:r>
        <w:rPr>
          <w:rFonts w:ascii="Palatino Linotype" w:eastAsia="Palatino Linotype" w:hAnsi="Palatino Linotype" w:cs="Palatino Linotype"/>
          <w:sz w:val="22"/>
          <w:szCs w:val="22"/>
        </w:rPr>
        <w:t xml:space="preserve"> and </w:t>
      </w:r>
      <w:r>
        <w:rPr>
          <w:rFonts w:ascii="Arial" w:eastAsia="Palatino Linotype" w:hAnsi="Arial" w:cs="Arial"/>
          <w:b/>
          <w:sz w:val="20"/>
          <w:szCs w:val="22"/>
        </w:rPr>
        <w:t>₹</w:t>
      </w:r>
      <w:r>
        <w:rPr>
          <w:rFonts w:ascii="Palatino Linotype" w:eastAsia="Palatino Linotype" w:hAnsi="Palatino Linotype" w:cs="Palatino Linotype"/>
          <w:sz w:val="22"/>
          <w:szCs w:val="22"/>
        </w:rPr>
        <w:t>56 crore</w:t>
      </w:r>
      <w:r w:rsidRPr="002357A9">
        <w:rPr>
          <w:rFonts w:ascii="Palatino Linotype" w:eastAsia="Palatino Linotype" w:hAnsi="Palatino Linotype" w:cs="Palatino Linotype"/>
          <w:sz w:val="22"/>
          <w:szCs w:val="22"/>
        </w:rPr>
        <w:t xml:space="preserve"> respectively</w:t>
      </w:r>
      <w:r>
        <w:rPr>
          <w:rFonts w:ascii="Palatino Linotype" w:eastAsia="Palatino Linotype" w:hAnsi="Palatino Linotype" w:cs="Palatino Linotype"/>
          <w:sz w:val="22"/>
          <w:szCs w:val="22"/>
        </w:rPr>
        <w:t xml:space="preserve"> in April 2021.</w:t>
      </w:r>
      <w:r w:rsidRPr="002357A9">
        <w:rPr>
          <w:rFonts w:ascii="Palatino Linotype" w:eastAsia="Palatino Linotype" w:hAnsi="Palatino Linotype" w:cs="Palatino Linotype"/>
          <w:sz w:val="22"/>
          <w:szCs w:val="22"/>
        </w:rPr>
        <w:t xml:space="preserve">  </w:t>
      </w:r>
    </w:p>
    <w:p w:rsidR="002F2984" w:rsidRPr="00536BC8"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During May 2021, there were one</w:t>
      </w:r>
      <w:r w:rsidRPr="002357A9">
        <w:rPr>
          <w:rFonts w:ascii="Palatino Linotype" w:eastAsia="Palatino Linotype" w:hAnsi="Palatino Linotype" w:cs="Palatino Linotype"/>
          <w:sz w:val="22"/>
          <w:szCs w:val="22"/>
        </w:rPr>
        <w:t xml:space="preserve"> rights issue</w:t>
      </w:r>
      <w:r>
        <w:rPr>
          <w:rFonts w:ascii="Palatino Linotype" w:eastAsia="Palatino Linotype" w:hAnsi="Palatino Linotype" w:cs="Palatino Linotype"/>
          <w:sz w:val="22"/>
          <w:szCs w:val="22"/>
        </w:rPr>
        <w:t xml:space="preserve"> mobilizing </w:t>
      </w:r>
      <w:r>
        <w:rPr>
          <w:rFonts w:ascii="Arial" w:eastAsia="Palatino Linotype" w:hAnsi="Arial" w:cs="Arial"/>
          <w:b/>
          <w:sz w:val="20"/>
          <w:szCs w:val="22"/>
        </w:rPr>
        <w:t>₹</w:t>
      </w:r>
      <w:r>
        <w:rPr>
          <w:rFonts w:ascii="Palatino Linotype" w:eastAsia="Palatino Linotype" w:hAnsi="Palatino Linotype" w:cs="Palatino Linotype"/>
          <w:sz w:val="22"/>
          <w:szCs w:val="22"/>
        </w:rPr>
        <w:t>25</w:t>
      </w:r>
      <w:r w:rsidRPr="002137D5">
        <w:rPr>
          <w:rFonts w:ascii="Palatino Linotype" w:eastAsia="Palatino Linotype" w:hAnsi="Palatino Linotype" w:cs="Palatino Linotype"/>
          <w:sz w:val="22"/>
          <w:szCs w:val="22"/>
        </w:rPr>
        <w:t xml:space="preserve"> c</w:t>
      </w:r>
      <w:r>
        <w:rPr>
          <w:rFonts w:ascii="Palatino Linotype" w:eastAsia="Palatino Linotype" w:hAnsi="Palatino Linotype" w:cs="Palatino Linotype"/>
          <w:sz w:val="22"/>
          <w:szCs w:val="22"/>
        </w:rPr>
        <w:t>rore compared to three</w:t>
      </w:r>
      <w:r w:rsidRPr="002357A9">
        <w:rPr>
          <w:rFonts w:ascii="Palatino Linotype" w:eastAsia="Palatino Linotype" w:hAnsi="Palatino Linotype" w:cs="Palatino Linotype"/>
          <w:sz w:val="22"/>
          <w:szCs w:val="22"/>
        </w:rPr>
        <w:t xml:space="preserve"> rights issue</w:t>
      </w:r>
      <w:r>
        <w:rPr>
          <w:rFonts w:ascii="Palatino Linotype" w:eastAsia="Palatino Linotype" w:hAnsi="Palatino Linotype" w:cs="Palatino Linotype"/>
          <w:sz w:val="22"/>
          <w:szCs w:val="22"/>
        </w:rPr>
        <w:t xml:space="preserve">s mobilizing </w:t>
      </w:r>
      <w:r>
        <w:rPr>
          <w:rFonts w:ascii="Arial" w:eastAsia="Palatino Linotype" w:hAnsi="Arial" w:cs="Arial"/>
          <w:b/>
          <w:sz w:val="20"/>
          <w:szCs w:val="22"/>
        </w:rPr>
        <w:t>₹</w:t>
      </w:r>
      <w:r w:rsidRPr="002137D5">
        <w:rPr>
          <w:rFonts w:ascii="Palatino Linotype" w:eastAsia="Palatino Linotype" w:hAnsi="Palatino Linotype" w:cs="Palatino Linotype"/>
          <w:sz w:val="22"/>
          <w:szCs w:val="22"/>
        </w:rPr>
        <w:t>280 c</w:t>
      </w:r>
      <w:r>
        <w:rPr>
          <w:rFonts w:ascii="Palatino Linotype" w:eastAsia="Palatino Linotype" w:hAnsi="Palatino Linotype" w:cs="Palatino Linotype"/>
          <w:sz w:val="22"/>
          <w:szCs w:val="22"/>
        </w:rPr>
        <w:t>rore</w:t>
      </w:r>
      <w:r w:rsidRPr="00536BC8">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in April</w:t>
      </w:r>
      <w:r w:rsidRPr="00536BC8">
        <w:rPr>
          <w:rFonts w:ascii="Palatino Linotype" w:eastAsia="Palatino Linotype" w:hAnsi="Palatino Linotype" w:cs="Palatino Linotype"/>
          <w:sz w:val="22"/>
          <w:szCs w:val="22"/>
        </w:rPr>
        <w:t xml:space="preserve"> 2021.</w:t>
      </w:r>
    </w:p>
    <w:p w:rsidR="002F2984" w:rsidRPr="002357A9"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357A9">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May</w:t>
      </w:r>
      <w:r w:rsidRPr="002357A9">
        <w:rPr>
          <w:rFonts w:ascii="Palatino Linotype" w:eastAsia="Palatino Linotype" w:hAnsi="Palatino Linotype" w:cs="Palatino Linotype"/>
          <w:sz w:val="22"/>
          <w:szCs w:val="22"/>
        </w:rPr>
        <w:t xml:space="preserve"> 2021, there </w:t>
      </w:r>
      <w:r>
        <w:rPr>
          <w:rFonts w:ascii="Palatino Linotype" w:eastAsia="Palatino Linotype" w:hAnsi="Palatino Linotype" w:cs="Palatino Linotype"/>
          <w:sz w:val="22"/>
          <w:szCs w:val="22"/>
        </w:rPr>
        <w:t>w</w:t>
      </w:r>
      <w:r w:rsidR="004140D0">
        <w:rPr>
          <w:rFonts w:ascii="Palatino Linotype" w:eastAsia="Palatino Linotype" w:hAnsi="Palatino Linotype" w:cs="Palatino Linotype"/>
          <w:sz w:val="22"/>
          <w:szCs w:val="22"/>
        </w:rPr>
        <w:t>ere</w:t>
      </w:r>
      <w:r>
        <w:rPr>
          <w:rFonts w:ascii="Palatino Linotype" w:eastAsia="Palatino Linotype" w:hAnsi="Palatino Linotype" w:cs="Palatino Linotype"/>
          <w:sz w:val="22"/>
          <w:szCs w:val="22"/>
        </w:rPr>
        <w:t xml:space="preserve"> </w:t>
      </w:r>
      <w:r w:rsidR="004140D0">
        <w:rPr>
          <w:rFonts w:ascii="Palatino Linotype" w:eastAsia="Palatino Linotype" w:hAnsi="Palatino Linotype" w:cs="Palatino Linotype"/>
          <w:sz w:val="22"/>
          <w:szCs w:val="22"/>
        </w:rPr>
        <w:t xml:space="preserve">two </w:t>
      </w:r>
      <w:r>
        <w:rPr>
          <w:rFonts w:ascii="Palatino Linotype" w:eastAsia="Palatino Linotype" w:hAnsi="Palatino Linotype" w:cs="Palatino Linotype"/>
          <w:sz w:val="22"/>
          <w:szCs w:val="22"/>
        </w:rPr>
        <w:t xml:space="preserve">public issues of corporate bonds </w:t>
      </w:r>
      <w:r w:rsidRPr="002357A9">
        <w:rPr>
          <w:rFonts w:ascii="Palatino Linotype" w:eastAsia="Palatino Linotype" w:hAnsi="Palatino Linotype" w:cs="Palatino Linotype"/>
          <w:sz w:val="22"/>
          <w:szCs w:val="22"/>
        </w:rPr>
        <w:t xml:space="preserve">compared to </w:t>
      </w:r>
      <w:r>
        <w:rPr>
          <w:rFonts w:ascii="Palatino Linotype" w:eastAsia="Palatino Linotype" w:hAnsi="Palatino Linotype" w:cs="Palatino Linotype"/>
          <w:sz w:val="22"/>
          <w:szCs w:val="22"/>
        </w:rPr>
        <w:t>four public issues</w:t>
      </w:r>
      <w:r w:rsidRPr="002357A9">
        <w:rPr>
          <w:rFonts w:ascii="Palatino Linotype" w:eastAsia="Palatino Linotype" w:hAnsi="Palatino Linotype" w:cs="Palatino Linotype"/>
          <w:sz w:val="22"/>
          <w:szCs w:val="22"/>
        </w:rPr>
        <w:t xml:space="preserve"> of corporate bonds</w:t>
      </w:r>
      <w:r w:rsidR="004140D0">
        <w:rPr>
          <w:rFonts w:ascii="Palatino Linotype" w:eastAsia="Palatino Linotype" w:hAnsi="Palatino Linotype" w:cs="Palatino Linotype"/>
          <w:sz w:val="22"/>
          <w:szCs w:val="22"/>
        </w:rPr>
        <w:t xml:space="preserve"> in April 2021</w:t>
      </w:r>
      <w:r w:rsidRPr="002357A9">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amounting to</w:t>
      </w:r>
      <w:r w:rsidRPr="002357A9">
        <w:rPr>
          <w:rFonts w:ascii="Palatino Linotype" w:eastAsia="Palatino Linotype" w:hAnsi="Palatino Linotype" w:cs="Palatino Linotype"/>
          <w:sz w:val="22"/>
          <w:szCs w:val="22"/>
        </w:rPr>
        <w:t xml:space="preserve"> </w:t>
      </w:r>
      <w:r>
        <w:rPr>
          <w:rFonts w:ascii="Times New Roman" w:eastAsia="Palatino Linotype" w:hAnsi="Times New Roman"/>
          <w:sz w:val="22"/>
          <w:szCs w:val="22"/>
        </w:rPr>
        <w:t>₹</w:t>
      </w:r>
      <w:r w:rsidR="004140D0">
        <w:rPr>
          <w:rFonts w:ascii="Times New Roman" w:eastAsia="Palatino Linotype" w:hAnsi="Times New Roman"/>
          <w:sz w:val="22"/>
          <w:szCs w:val="22"/>
        </w:rPr>
        <w:t>1</w:t>
      </w:r>
      <w:r>
        <w:rPr>
          <w:rFonts w:ascii="Palatino Linotype" w:eastAsia="Palatino Linotype" w:hAnsi="Palatino Linotype" w:cs="Palatino Linotype"/>
          <w:sz w:val="22"/>
          <w:szCs w:val="22"/>
        </w:rPr>
        <w:t>,</w:t>
      </w:r>
      <w:r w:rsidR="004140D0">
        <w:rPr>
          <w:rFonts w:ascii="Palatino Linotype" w:eastAsia="Palatino Linotype" w:hAnsi="Palatino Linotype" w:cs="Palatino Linotype"/>
          <w:sz w:val="22"/>
          <w:szCs w:val="22"/>
        </w:rPr>
        <w:t>265</w:t>
      </w:r>
      <w:r w:rsidRPr="002357A9">
        <w:rPr>
          <w:rFonts w:ascii="Palatino Linotype" w:eastAsia="Palatino Linotype" w:hAnsi="Palatino Linotype" w:cs="Palatino Linotype"/>
          <w:sz w:val="22"/>
          <w:szCs w:val="22"/>
        </w:rPr>
        <w:t xml:space="preserve"> crore </w:t>
      </w:r>
      <w:r>
        <w:rPr>
          <w:rFonts w:ascii="Palatino Linotype" w:eastAsia="Palatino Linotype" w:hAnsi="Palatino Linotype" w:cs="Palatino Linotype"/>
          <w:sz w:val="22"/>
          <w:szCs w:val="22"/>
        </w:rPr>
        <w:t>in the previous month</w:t>
      </w:r>
      <w:r w:rsidRPr="002357A9">
        <w:rPr>
          <w:rFonts w:ascii="Palatino Linotype" w:eastAsia="Palatino Linotype" w:hAnsi="Palatino Linotype" w:cs="Palatino Linotype"/>
          <w:sz w:val="22"/>
          <w:szCs w:val="22"/>
        </w:rPr>
        <w:t xml:space="preserve">.  </w:t>
      </w:r>
    </w:p>
    <w:p w:rsidR="002F2984" w:rsidRPr="002137D5"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357A9">
        <w:rPr>
          <w:rFonts w:ascii="Palatino Linotype" w:eastAsia="Palatino Linotype" w:hAnsi="Palatino Linotype" w:cs="Palatino Linotype"/>
          <w:sz w:val="22"/>
          <w:szCs w:val="22"/>
        </w:rPr>
        <w:t xml:space="preserve">An amount of </w:t>
      </w:r>
      <w:r>
        <w:rPr>
          <w:rFonts w:ascii="Times New Roman" w:eastAsia="Palatino Linotype" w:hAnsi="Times New Roman"/>
          <w:sz w:val="22"/>
          <w:szCs w:val="22"/>
        </w:rPr>
        <w:t>₹</w:t>
      </w:r>
      <w:r>
        <w:rPr>
          <w:rFonts w:ascii="Palatino Linotype" w:eastAsia="Palatino Linotype" w:hAnsi="Palatino Linotype" w:cs="Palatino Linotype"/>
          <w:sz w:val="22"/>
          <w:szCs w:val="22"/>
        </w:rPr>
        <w:t>9,444</w:t>
      </w:r>
      <w:r w:rsidRPr="002137D5">
        <w:rPr>
          <w:rFonts w:ascii="Palatino Linotype" w:eastAsia="Palatino Linotype" w:hAnsi="Palatino Linotype" w:cs="Palatino Linotype"/>
          <w:sz w:val="22"/>
          <w:szCs w:val="22"/>
        </w:rPr>
        <w:t xml:space="preserve"> </w:t>
      </w:r>
      <w:r w:rsidRPr="002357A9">
        <w:rPr>
          <w:rFonts w:ascii="Palatino Linotype" w:eastAsia="Palatino Linotype" w:hAnsi="Palatino Linotype" w:cs="Palatino Linotype"/>
          <w:sz w:val="22"/>
          <w:szCs w:val="22"/>
        </w:rPr>
        <w:t xml:space="preserve">crore </w:t>
      </w:r>
      <w:r>
        <w:rPr>
          <w:rFonts w:ascii="Palatino Linotype" w:eastAsia="Palatino Linotype" w:hAnsi="Palatino Linotype" w:cs="Palatino Linotype"/>
          <w:sz w:val="22"/>
          <w:szCs w:val="22"/>
        </w:rPr>
        <w:t>were</w:t>
      </w:r>
      <w:r w:rsidRPr="002357A9">
        <w:rPr>
          <w:rFonts w:ascii="Palatino Linotype" w:eastAsia="Palatino Linotype" w:hAnsi="Palatino Linotype" w:cs="Palatino Linotype"/>
          <w:sz w:val="22"/>
          <w:szCs w:val="22"/>
        </w:rPr>
        <w:t xml:space="preserve"> raised through private placement of equity (i.e., preferential allotment and QIP</w:t>
      </w:r>
      <w:r>
        <w:rPr>
          <w:rFonts w:ascii="Palatino Linotype" w:eastAsia="Palatino Linotype" w:hAnsi="Palatino Linotype" w:cs="Palatino Linotype"/>
          <w:sz w:val="22"/>
          <w:szCs w:val="22"/>
        </w:rPr>
        <w:t>s</w:t>
      </w:r>
      <w:r w:rsidRPr="002357A9">
        <w:rPr>
          <w:rFonts w:ascii="Palatino Linotype" w:eastAsia="Palatino Linotype" w:hAnsi="Palatino Linotype" w:cs="Palatino Linotype"/>
          <w:sz w:val="22"/>
          <w:szCs w:val="22"/>
        </w:rPr>
        <w:t xml:space="preserve">) during </w:t>
      </w:r>
      <w:r>
        <w:rPr>
          <w:rFonts w:ascii="Palatino Linotype" w:eastAsia="Palatino Linotype" w:hAnsi="Palatino Linotype" w:cs="Palatino Linotype"/>
          <w:sz w:val="22"/>
          <w:szCs w:val="22"/>
        </w:rPr>
        <w:t>May</w:t>
      </w:r>
      <w:r w:rsidRPr="002357A9">
        <w:rPr>
          <w:rFonts w:ascii="Palatino Linotype" w:eastAsia="Palatino Linotype" w:hAnsi="Palatino Linotype" w:cs="Palatino Linotype"/>
          <w:sz w:val="22"/>
          <w:szCs w:val="22"/>
        </w:rPr>
        <w:t xml:space="preserve"> 2021, against </w:t>
      </w:r>
      <w:r>
        <w:rPr>
          <w:rFonts w:ascii="Times New Roman" w:eastAsia="Palatino Linotype" w:hAnsi="Times New Roman"/>
          <w:sz w:val="22"/>
          <w:szCs w:val="22"/>
        </w:rPr>
        <w:t>₹</w:t>
      </w:r>
      <w:r w:rsidRPr="002137D5">
        <w:rPr>
          <w:rFonts w:ascii="Palatino Linotype" w:eastAsia="Palatino Linotype" w:hAnsi="Palatino Linotype" w:cs="Palatino Linotype"/>
          <w:sz w:val="22"/>
          <w:szCs w:val="22"/>
        </w:rPr>
        <w:t xml:space="preserve">13,120 </w:t>
      </w:r>
      <w:r w:rsidRPr="002357A9">
        <w:rPr>
          <w:rFonts w:ascii="Palatino Linotype" w:eastAsia="Palatino Linotype" w:hAnsi="Palatino Linotype" w:cs="Palatino Linotype"/>
          <w:sz w:val="22"/>
          <w:szCs w:val="22"/>
        </w:rPr>
        <w:t xml:space="preserve">crore raised during </w:t>
      </w:r>
      <w:r>
        <w:rPr>
          <w:rFonts w:ascii="Palatino Linotype" w:eastAsia="Palatino Linotype" w:hAnsi="Palatino Linotype" w:cs="Palatino Linotype"/>
          <w:sz w:val="22"/>
          <w:szCs w:val="22"/>
        </w:rPr>
        <w:t>April</w:t>
      </w:r>
      <w:r w:rsidRPr="007870CE">
        <w:rPr>
          <w:rFonts w:ascii="Palatino Linotype" w:eastAsia="Palatino Linotype" w:hAnsi="Palatino Linotype" w:cs="Palatino Linotype"/>
          <w:sz w:val="22"/>
          <w:szCs w:val="22"/>
        </w:rPr>
        <w:t xml:space="preserve"> 2021</w:t>
      </w:r>
      <w:r w:rsidRPr="002357A9">
        <w:rPr>
          <w:rFonts w:ascii="Palatino Linotype" w:eastAsia="Palatino Linotype" w:hAnsi="Palatino Linotype" w:cs="Palatino Linotype"/>
          <w:sz w:val="22"/>
          <w:szCs w:val="22"/>
        </w:rPr>
        <w:t xml:space="preserve">. </w:t>
      </w:r>
    </w:p>
    <w:p w:rsidR="002F2984" w:rsidRPr="002137D5"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357A9">
        <w:rPr>
          <w:rFonts w:ascii="Palatino Linotype" w:eastAsia="Palatino Linotype" w:hAnsi="Palatino Linotype" w:cs="Palatino Linotype"/>
          <w:sz w:val="22"/>
          <w:szCs w:val="22"/>
        </w:rPr>
        <w:t xml:space="preserve">Private placement of corporate debt reported on </w:t>
      </w:r>
      <w:r>
        <w:rPr>
          <w:rFonts w:ascii="Palatino Linotype" w:eastAsia="Palatino Linotype" w:hAnsi="Palatino Linotype" w:cs="Palatino Linotype"/>
          <w:sz w:val="22"/>
          <w:szCs w:val="22"/>
        </w:rPr>
        <w:t>exchanges</w:t>
      </w:r>
      <w:r w:rsidRPr="002357A9">
        <w:rPr>
          <w:rFonts w:ascii="Palatino Linotype" w:eastAsia="Palatino Linotype" w:hAnsi="Palatino Linotype" w:cs="Palatino Linotype"/>
          <w:sz w:val="22"/>
          <w:szCs w:val="22"/>
        </w:rPr>
        <w:t xml:space="preserve"> stood at </w:t>
      </w:r>
      <w:r>
        <w:rPr>
          <w:rFonts w:ascii="Times New Roman" w:eastAsia="Palatino Linotype" w:hAnsi="Times New Roman"/>
          <w:sz w:val="22"/>
          <w:szCs w:val="22"/>
        </w:rPr>
        <w:t>₹</w:t>
      </w:r>
      <w:r>
        <w:rPr>
          <w:rFonts w:ascii="Palatino Linotype" w:eastAsia="Palatino Linotype" w:hAnsi="Palatino Linotype" w:cs="Palatino Linotype"/>
          <w:sz w:val="22"/>
          <w:szCs w:val="22"/>
        </w:rPr>
        <w:t>21,622</w:t>
      </w:r>
      <w:r w:rsidRPr="002137D5">
        <w:rPr>
          <w:rFonts w:ascii="Palatino Linotype" w:eastAsia="Palatino Linotype" w:hAnsi="Palatino Linotype" w:cs="Palatino Linotype"/>
          <w:sz w:val="22"/>
          <w:szCs w:val="22"/>
        </w:rPr>
        <w:t xml:space="preserve"> </w:t>
      </w:r>
      <w:r w:rsidRPr="002357A9">
        <w:rPr>
          <w:rFonts w:ascii="Palatino Linotype" w:eastAsia="Palatino Linotype" w:hAnsi="Palatino Linotype" w:cs="Palatino Linotype"/>
          <w:sz w:val="22"/>
          <w:szCs w:val="22"/>
        </w:rPr>
        <w:t xml:space="preserve">crore during </w:t>
      </w:r>
      <w:r>
        <w:rPr>
          <w:rFonts w:ascii="Palatino Linotype" w:eastAsia="Palatino Linotype" w:hAnsi="Palatino Linotype" w:cs="Palatino Linotype"/>
          <w:sz w:val="22"/>
          <w:szCs w:val="22"/>
        </w:rPr>
        <w:t>May 2021</w:t>
      </w:r>
      <w:r w:rsidRPr="002357A9">
        <w:rPr>
          <w:rFonts w:ascii="Palatino Linotype" w:eastAsia="Palatino Linotype" w:hAnsi="Palatino Linotype" w:cs="Palatino Linotype"/>
          <w:sz w:val="22"/>
          <w:szCs w:val="22"/>
        </w:rPr>
        <w:t xml:space="preserve">, compared to </w:t>
      </w:r>
      <w:r>
        <w:rPr>
          <w:rFonts w:ascii="Times New Roman" w:eastAsia="Palatino Linotype" w:hAnsi="Times New Roman"/>
          <w:sz w:val="22"/>
          <w:szCs w:val="22"/>
        </w:rPr>
        <w:t>₹</w:t>
      </w:r>
      <w:r w:rsidRPr="002137D5">
        <w:rPr>
          <w:rFonts w:ascii="Palatino Linotype" w:eastAsia="Palatino Linotype" w:hAnsi="Palatino Linotype" w:cs="Palatino Linotype"/>
          <w:sz w:val="22"/>
          <w:szCs w:val="22"/>
        </w:rPr>
        <w:t xml:space="preserve">32,010 </w:t>
      </w:r>
      <w:r w:rsidRPr="002357A9">
        <w:rPr>
          <w:rFonts w:ascii="Palatino Linotype" w:eastAsia="Palatino Linotype" w:hAnsi="Palatino Linotype" w:cs="Palatino Linotype"/>
          <w:sz w:val="22"/>
          <w:szCs w:val="22"/>
        </w:rPr>
        <w:t xml:space="preserve">crore during </w:t>
      </w:r>
      <w:r>
        <w:rPr>
          <w:rFonts w:ascii="Palatino Linotype" w:eastAsia="Palatino Linotype" w:hAnsi="Palatino Linotype" w:cs="Palatino Linotype"/>
          <w:sz w:val="22"/>
          <w:szCs w:val="22"/>
        </w:rPr>
        <w:t>April 2021, a decrease of 32.5 per cent over previous month.</w:t>
      </w:r>
      <w:r w:rsidRPr="002357A9">
        <w:rPr>
          <w:rFonts w:ascii="Palatino Linotype" w:eastAsia="Palatino Linotype" w:hAnsi="Palatino Linotype" w:cs="Palatino Linotype"/>
          <w:sz w:val="22"/>
          <w:szCs w:val="22"/>
        </w:rPr>
        <w:t xml:space="preserve"> </w:t>
      </w:r>
    </w:p>
    <w:p w:rsidR="002F2984" w:rsidRPr="002357A9" w:rsidRDefault="002F2984" w:rsidP="002F2984">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2F2984" w:rsidRPr="002357A9" w:rsidRDefault="002F2984" w:rsidP="002F2984">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Trends in the Secondary Market</w:t>
      </w:r>
    </w:p>
    <w:p w:rsidR="002F2984" w:rsidRPr="002357A9" w:rsidRDefault="002F2984" w:rsidP="002F2984">
      <w:pPr>
        <w:widowControl w:val="0"/>
        <w:tabs>
          <w:tab w:val="left" w:pos="3915"/>
        </w:tabs>
        <w:spacing w:line="276" w:lineRule="auto"/>
        <w:jc w:val="both"/>
        <w:rPr>
          <w:rFonts w:ascii="Palatino Linotype" w:eastAsia="Palatino Linotype" w:hAnsi="Palatino Linotype" w:cs="Palatino Linotype"/>
          <w:b/>
          <w:sz w:val="22"/>
          <w:szCs w:val="22"/>
        </w:rPr>
      </w:pPr>
    </w:p>
    <w:p w:rsidR="002F2984" w:rsidRPr="00661BF9"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C41524">
        <w:rPr>
          <w:rFonts w:ascii="Palatino Linotype" w:eastAsia="Palatino Linotype" w:hAnsi="Palatino Linotype" w:cs="Palatino Linotype"/>
          <w:sz w:val="22"/>
          <w:szCs w:val="22"/>
        </w:rPr>
        <w:t xml:space="preserve">At the end of </w:t>
      </w:r>
      <w:r>
        <w:rPr>
          <w:rFonts w:ascii="Palatino Linotype" w:eastAsia="Palatino Linotype" w:hAnsi="Palatino Linotype" w:cs="Palatino Linotype"/>
          <w:sz w:val="22"/>
          <w:szCs w:val="22"/>
        </w:rPr>
        <w:t xml:space="preserve">May 2021, both Sensex and Nifty 50 registered an increase of 6.5 per cent and </w:t>
      </w:r>
      <w:r w:rsidRPr="00C41524">
        <w:rPr>
          <w:rFonts w:ascii="Palatino Linotype" w:eastAsia="Palatino Linotype" w:hAnsi="Palatino Linotype" w:cs="Palatino Linotype"/>
          <w:sz w:val="22"/>
          <w:szCs w:val="22"/>
        </w:rPr>
        <w:t xml:space="preserve">closed at </w:t>
      </w:r>
      <w:r>
        <w:rPr>
          <w:rFonts w:ascii="Palatino Linotype" w:eastAsia="Palatino Linotype" w:hAnsi="Palatino Linotype" w:cs="Palatino Linotype"/>
          <w:sz w:val="22"/>
          <w:szCs w:val="22"/>
        </w:rPr>
        <w:t xml:space="preserve">51,937  and 15,583 respectively </w:t>
      </w:r>
      <w:r w:rsidRPr="00C41524">
        <w:rPr>
          <w:rFonts w:ascii="Palatino Linotype" w:eastAsia="Palatino Linotype" w:hAnsi="Palatino Linotype" w:cs="Palatino Linotype"/>
          <w:sz w:val="22"/>
          <w:szCs w:val="22"/>
        </w:rPr>
        <w:t xml:space="preserve">as compared to the </w:t>
      </w:r>
      <w:r>
        <w:rPr>
          <w:rFonts w:ascii="Palatino Linotype" w:eastAsia="Palatino Linotype" w:hAnsi="Palatino Linotype" w:cs="Palatino Linotype"/>
          <w:sz w:val="22"/>
          <w:szCs w:val="22"/>
        </w:rPr>
        <w:t xml:space="preserve">closing value of 48,782 and </w:t>
      </w:r>
      <w:r w:rsidRPr="002137D5">
        <w:rPr>
          <w:rFonts w:ascii="Palatino Linotype" w:eastAsia="Palatino Linotype" w:hAnsi="Palatino Linotype" w:cs="Palatino Linotype"/>
          <w:sz w:val="22"/>
          <w:szCs w:val="22"/>
        </w:rPr>
        <w:t>14,631</w:t>
      </w:r>
      <w:r>
        <w:rPr>
          <w:rFonts w:ascii="Palatino Linotype" w:eastAsia="Palatino Linotype" w:hAnsi="Palatino Linotype" w:cs="Palatino Linotype"/>
          <w:sz w:val="22"/>
          <w:szCs w:val="22"/>
        </w:rPr>
        <w:t xml:space="preserve"> </w:t>
      </w:r>
      <w:r w:rsidRPr="00C41524">
        <w:rPr>
          <w:rFonts w:ascii="Palatino Linotype" w:eastAsia="Palatino Linotype" w:hAnsi="Palatino Linotype" w:cs="Palatino Linotype"/>
          <w:sz w:val="22"/>
          <w:szCs w:val="22"/>
        </w:rPr>
        <w:t xml:space="preserve">at the end of </w:t>
      </w:r>
      <w:r>
        <w:rPr>
          <w:rFonts w:ascii="Palatino Linotype" w:eastAsia="Palatino Linotype" w:hAnsi="Palatino Linotype" w:cs="Palatino Linotype"/>
          <w:sz w:val="22"/>
          <w:szCs w:val="22"/>
        </w:rPr>
        <w:t>April</w:t>
      </w:r>
      <w:r w:rsidRPr="00C41524">
        <w:rPr>
          <w:rFonts w:ascii="Palatino Linotype" w:eastAsia="Palatino Linotype" w:hAnsi="Palatino Linotype" w:cs="Palatino Linotype"/>
          <w:sz w:val="22"/>
          <w:szCs w:val="22"/>
        </w:rPr>
        <w:t xml:space="preserve"> 202</w:t>
      </w:r>
      <w:r>
        <w:rPr>
          <w:rFonts w:ascii="Palatino Linotype" w:eastAsia="Palatino Linotype" w:hAnsi="Palatino Linotype" w:cs="Palatino Linotype"/>
          <w:sz w:val="22"/>
          <w:szCs w:val="22"/>
        </w:rPr>
        <w:t>1</w:t>
      </w:r>
      <w:r w:rsidRPr="00C41524">
        <w:rPr>
          <w:rFonts w:ascii="Palatino Linotype" w:eastAsia="Palatino Linotype" w:hAnsi="Palatino Linotype" w:cs="Palatino Linotype"/>
          <w:sz w:val="22"/>
          <w:szCs w:val="22"/>
        </w:rPr>
        <w:t>.</w:t>
      </w:r>
    </w:p>
    <w:p w:rsidR="002F2984" w:rsidRPr="001C59C6"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C59C6">
        <w:rPr>
          <w:rFonts w:ascii="Palatino Linotype" w:eastAsia="Palatino Linotype" w:hAnsi="Palatino Linotype" w:cs="Palatino Linotype"/>
          <w:sz w:val="22"/>
          <w:szCs w:val="22"/>
        </w:rPr>
        <w:t>Nifty 50</w:t>
      </w:r>
      <w:r>
        <w:rPr>
          <w:rFonts w:ascii="Palatino Linotype" w:eastAsia="Palatino Linotype" w:hAnsi="Palatino Linotype" w:cs="Palatino Linotype"/>
          <w:sz w:val="22"/>
          <w:szCs w:val="22"/>
        </w:rPr>
        <w:t xml:space="preserve"> and </w:t>
      </w:r>
      <w:r w:rsidRPr="007329AB">
        <w:rPr>
          <w:rFonts w:ascii="Palatino Linotype" w:eastAsia="Palatino Linotype" w:hAnsi="Palatino Linotype" w:cs="Palatino Linotype"/>
          <w:sz w:val="22"/>
          <w:szCs w:val="22"/>
        </w:rPr>
        <w:t xml:space="preserve">S&amp;P BSE Sensex </w:t>
      </w:r>
      <w:r w:rsidRPr="001C59C6">
        <w:rPr>
          <w:rFonts w:ascii="Palatino Linotype" w:eastAsia="Palatino Linotype" w:hAnsi="Palatino Linotype" w:cs="Palatino Linotype"/>
          <w:sz w:val="22"/>
          <w:szCs w:val="22"/>
        </w:rPr>
        <w:t xml:space="preserve">reached </w:t>
      </w:r>
      <w:r>
        <w:rPr>
          <w:rFonts w:ascii="Palatino Linotype" w:eastAsia="Palatino Linotype" w:hAnsi="Palatino Linotype" w:cs="Palatino Linotype"/>
          <w:sz w:val="22"/>
          <w:szCs w:val="22"/>
        </w:rPr>
        <w:t>their</w:t>
      </w:r>
      <w:r w:rsidRPr="001C59C6">
        <w:rPr>
          <w:rFonts w:ascii="Palatino Linotype" w:eastAsia="Palatino Linotype" w:hAnsi="Palatino Linotype" w:cs="Palatino Linotype"/>
          <w:sz w:val="22"/>
          <w:szCs w:val="22"/>
        </w:rPr>
        <w:t xml:space="preserve"> intraday high for the month </w:t>
      </w:r>
      <w:r w:rsidRPr="00EC47BB">
        <w:rPr>
          <w:rFonts w:ascii="Palatino Linotype" w:eastAsia="Palatino Linotype" w:hAnsi="Palatino Linotype" w:cs="Palatino Linotype"/>
          <w:sz w:val="22"/>
          <w:szCs w:val="22"/>
        </w:rPr>
        <w:t>at 15,606 and 52,013 respectively, on May 31, 2021 and their intraday low for the month at 14,416 and 48,028</w:t>
      </w:r>
      <w:r w:rsidRPr="007329AB">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respectively, </w:t>
      </w:r>
      <w:r w:rsidRPr="007329AB">
        <w:rPr>
          <w:rFonts w:ascii="Palatino Linotype" w:eastAsia="Palatino Linotype" w:hAnsi="Palatino Linotype" w:cs="Palatino Linotype"/>
          <w:sz w:val="22"/>
          <w:szCs w:val="22"/>
        </w:rPr>
        <w:t>o</w:t>
      </w:r>
      <w:r w:rsidRPr="001C59C6">
        <w:rPr>
          <w:rFonts w:ascii="Palatino Linotype" w:eastAsia="Palatino Linotype" w:hAnsi="Palatino Linotype" w:cs="Palatino Linotype"/>
          <w:sz w:val="22"/>
          <w:szCs w:val="22"/>
        </w:rPr>
        <w:t xml:space="preserve">n </w:t>
      </w:r>
      <w:r>
        <w:rPr>
          <w:rFonts w:ascii="Palatino Linotype" w:eastAsia="Palatino Linotype" w:hAnsi="Palatino Linotype" w:cs="Palatino Linotype"/>
          <w:sz w:val="22"/>
          <w:szCs w:val="22"/>
        </w:rPr>
        <w:t>May 03</w:t>
      </w:r>
      <w:r w:rsidRPr="001C59C6">
        <w:rPr>
          <w:rFonts w:ascii="Palatino Linotype" w:eastAsia="Palatino Linotype" w:hAnsi="Palatino Linotype" w:cs="Palatino Linotype"/>
          <w:sz w:val="22"/>
          <w:szCs w:val="22"/>
        </w:rPr>
        <w:t>, 2021.</w:t>
      </w:r>
    </w:p>
    <w:p w:rsidR="002F2984"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357A9">
        <w:rPr>
          <w:rFonts w:ascii="Palatino Linotype" w:eastAsia="Palatino Linotype" w:hAnsi="Palatino Linotype" w:cs="Palatino Linotype"/>
          <w:sz w:val="22"/>
          <w:szCs w:val="22"/>
        </w:rPr>
        <w:lastRenderedPageBreak/>
        <w:t>The P/E ratios of S&amp;P BSE Sensex and Nifty 50 were</w:t>
      </w:r>
      <w:r>
        <w:rPr>
          <w:rFonts w:ascii="Palatino Linotype" w:eastAsia="Palatino Linotype" w:hAnsi="Palatino Linotype" w:cs="Palatino Linotype"/>
          <w:sz w:val="22"/>
          <w:szCs w:val="22"/>
        </w:rPr>
        <w:t xml:space="preserve"> </w:t>
      </w:r>
      <w:r w:rsidRPr="009316A0">
        <w:rPr>
          <w:rFonts w:ascii="Palatino Linotype" w:eastAsia="Palatino Linotype" w:hAnsi="Palatino Linotype" w:cs="Palatino Linotype"/>
          <w:color w:val="000000"/>
          <w:sz w:val="22"/>
          <w:szCs w:val="22"/>
        </w:rPr>
        <w:t xml:space="preserve">31.3 and 29.2, </w:t>
      </w:r>
      <w:r w:rsidRPr="002357A9">
        <w:rPr>
          <w:rFonts w:ascii="Palatino Linotype" w:eastAsia="Palatino Linotype" w:hAnsi="Palatino Linotype" w:cs="Palatino Linotype"/>
          <w:sz w:val="22"/>
          <w:szCs w:val="22"/>
        </w:rPr>
        <w:t xml:space="preserve">respectively, at the end of </w:t>
      </w:r>
      <w:r>
        <w:rPr>
          <w:rFonts w:ascii="Palatino Linotype" w:eastAsia="Palatino Linotype" w:hAnsi="Palatino Linotype" w:cs="Palatino Linotype"/>
          <w:sz w:val="22"/>
          <w:szCs w:val="22"/>
        </w:rPr>
        <w:t>May</w:t>
      </w:r>
      <w:r w:rsidRPr="002357A9">
        <w:rPr>
          <w:rFonts w:ascii="Palatino Linotype" w:eastAsia="Palatino Linotype" w:hAnsi="Palatino Linotype" w:cs="Palatino Linotype"/>
          <w:sz w:val="22"/>
          <w:szCs w:val="22"/>
        </w:rPr>
        <w:t xml:space="preserve"> 2021 compared to </w:t>
      </w:r>
      <w:r>
        <w:rPr>
          <w:rFonts w:ascii="Palatino Linotype" w:eastAsia="Palatino Linotype" w:hAnsi="Palatino Linotype" w:cs="Palatino Linotype"/>
          <w:sz w:val="22"/>
          <w:szCs w:val="22"/>
        </w:rPr>
        <w:t xml:space="preserve">32.1 </w:t>
      </w:r>
      <w:r w:rsidRPr="002357A9">
        <w:rPr>
          <w:rFonts w:ascii="Palatino Linotype" w:eastAsia="Palatino Linotype" w:hAnsi="Palatino Linotype" w:cs="Palatino Linotype"/>
          <w:sz w:val="22"/>
          <w:szCs w:val="22"/>
        </w:rPr>
        <w:t>and 3</w:t>
      </w:r>
      <w:r>
        <w:rPr>
          <w:rFonts w:ascii="Palatino Linotype" w:eastAsia="Palatino Linotype" w:hAnsi="Palatino Linotype" w:cs="Palatino Linotype"/>
          <w:sz w:val="22"/>
          <w:szCs w:val="22"/>
        </w:rPr>
        <w:t>2.2</w:t>
      </w:r>
      <w:r w:rsidRPr="002357A9">
        <w:rPr>
          <w:rFonts w:ascii="Palatino Linotype" w:eastAsia="Palatino Linotype" w:hAnsi="Palatino Linotype" w:cs="Palatino Linotype"/>
          <w:sz w:val="22"/>
          <w:szCs w:val="22"/>
        </w:rPr>
        <w:t xml:space="preserve">, respectively, at the end of </w:t>
      </w:r>
      <w:r>
        <w:rPr>
          <w:rFonts w:ascii="Palatino Linotype" w:eastAsia="Palatino Linotype" w:hAnsi="Palatino Linotype" w:cs="Palatino Linotype"/>
          <w:sz w:val="22"/>
          <w:szCs w:val="22"/>
        </w:rPr>
        <w:t>April</w:t>
      </w:r>
      <w:r w:rsidRPr="002357A9">
        <w:rPr>
          <w:rFonts w:ascii="Palatino Linotype" w:eastAsia="Palatino Linotype" w:hAnsi="Palatino Linotype" w:cs="Palatino Linotype"/>
          <w:sz w:val="22"/>
          <w:szCs w:val="22"/>
        </w:rPr>
        <w:t xml:space="preserve"> 2021.</w:t>
      </w:r>
    </w:p>
    <w:p w:rsidR="002F2984" w:rsidRPr="002357A9" w:rsidRDefault="002F2984" w:rsidP="002F2984">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2F2984" w:rsidRDefault="002F2984" w:rsidP="002F2984">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p>
    <w:p w:rsidR="002F2984" w:rsidRDefault="002F2984" w:rsidP="002F2984">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 xml:space="preserve">Table 2: Snapshot of Indian Capital Market </w:t>
      </w:r>
    </w:p>
    <w:tbl>
      <w:tblPr>
        <w:tblW w:w="9020" w:type="dxa"/>
        <w:tblInd w:w="-5" w:type="dxa"/>
        <w:tblLook w:val="04A0" w:firstRow="1" w:lastRow="0" w:firstColumn="1" w:lastColumn="0" w:noHBand="0" w:noVBand="1"/>
      </w:tblPr>
      <w:tblGrid>
        <w:gridCol w:w="3220"/>
        <w:gridCol w:w="1818"/>
        <w:gridCol w:w="1819"/>
        <w:gridCol w:w="2163"/>
      </w:tblGrid>
      <w:tr w:rsidR="002F2984" w:rsidRPr="009316A0" w:rsidTr="00320C82">
        <w:trPr>
          <w:trHeight w:val="710"/>
        </w:trPr>
        <w:tc>
          <w:tcPr>
            <w:tcW w:w="3220"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Description</w:t>
            </w:r>
          </w:p>
        </w:tc>
        <w:tc>
          <w:tcPr>
            <w:tcW w:w="1818" w:type="dxa"/>
            <w:tcBorders>
              <w:top w:val="single" w:sz="4" w:space="0" w:color="000000"/>
              <w:left w:val="nil"/>
              <w:bottom w:val="single" w:sz="4" w:space="0" w:color="000000"/>
              <w:right w:val="single" w:sz="4" w:space="0" w:color="000000"/>
            </w:tcBorders>
            <w:shd w:val="clear" w:color="92CDDC" w:fill="92CDDC"/>
            <w:noWrap/>
            <w:vAlign w:val="center"/>
            <w:hideMark/>
          </w:tcPr>
          <w:p w:rsidR="002F2984" w:rsidRPr="00594A2A" w:rsidRDefault="002F2984" w:rsidP="00320C82">
            <w:pPr>
              <w:jc w:val="cente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Apr-21</w:t>
            </w:r>
          </w:p>
        </w:tc>
        <w:tc>
          <w:tcPr>
            <w:tcW w:w="1818" w:type="dxa"/>
            <w:tcBorders>
              <w:top w:val="single" w:sz="4" w:space="0" w:color="000000"/>
              <w:left w:val="nil"/>
              <w:bottom w:val="single" w:sz="4" w:space="0" w:color="000000"/>
              <w:right w:val="single" w:sz="4" w:space="0" w:color="000000"/>
            </w:tcBorders>
            <w:shd w:val="clear" w:color="92CDDC" w:fill="92CDDC"/>
            <w:noWrap/>
            <w:vAlign w:val="center"/>
            <w:hideMark/>
          </w:tcPr>
          <w:p w:rsidR="002F2984" w:rsidRPr="00594A2A" w:rsidRDefault="002F2984" w:rsidP="00320C82">
            <w:pPr>
              <w:jc w:val="cente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May-21</w:t>
            </w:r>
          </w:p>
        </w:tc>
        <w:tc>
          <w:tcPr>
            <w:tcW w:w="2163" w:type="dxa"/>
            <w:tcBorders>
              <w:top w:val="single" w:sz="4" w:space="0" w:color="000000"/>
              <w:left w:val="nil"/>
              <w:bottom w:val="single" w:sz="4" w:space="0" w:color="000000"/>
              <w:right w:val="single" w:sz="4" w:space="0" w:color="000000"/>
            </w:tcBorders>
            <w:shd w:val="clear" w:color="92CDDC" w:fill="92CDDC"/>
            <w:vAlign w:val="center"/>
            <w:hideMark/>
          </w:tcPr>
          <w:p w:rsidR="002F2984" w:rsidRPr="00594A2A" w:rsidRDefault="002F2984" w:rsidP="00320C82">
            <w:pPr>
              <w:jc w:val="cente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Change during the Month</w:t>
            </w:r>
          </w:p>
        </w:tc>
      </w:tr>
      <w:tr w:rsidR="002F2984" w:rsidRPr="009316A0" w:rsidTr="00320C82">
        <w:trPr>
          <w:trHeight w:val="287"/>
        </w:trPr>
        <w:tc>
          <w:tcPr>
            <w:tcW w:w="3220" w:type="dxa"/>
            <w:tcBorders>
              <w:top w:val="nil"/>
              <w:left w:val="single" w:sz="4" w:space="0" w:color="000000"/>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Index in Equity Market</w:t>
            </w:r>
          </w:p>
        </w:tc>
        <w:tc>
          <w:tcPr>
            <w:tcW w:w="1818" w:type="dxa"/>
            <w:tcBorders>
              <w:top w:val="nil"/>
              <w:left w:val="nil"/>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c>
          <w:tcPr>
            <w:tcW w:w="1818" w:type="dxa"/>
            <w:tcBorders>
              <w:top w:val="nil"/>
              <w:left w:val="nil"/>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c>
          <w:tcPr>
            <w:tcW w:w="2163" w:type="dxa"/>
            <w:tcBorders>
              <w:top w:val="nil"/>
              <w:left w:val="nil"/>
              <w:bottom w:val="single" w:sz="4" w:space="0" w:color="000000"/>
              <w:right w:val="single" w:sz="4" w:space="0" w:color="000000"/>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Nifty 50</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14,631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15,583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6.5</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Sensex</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48,782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51,937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6.5</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Nifty Midcap 50</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6,725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7,206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7.1</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Nifty Smallcap 100</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8,565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9,267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8.2</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BSE Midcap</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20,312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21,758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7.1</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BSE Smallcap</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21,670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23,596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8.9</w:t>
            </w:r>
          </w:p>
        </w:tc>
      </w:tr>
      <w:tr w:rsidR="002F2984" w:rsidRPr="009316A0" w:rsidTr="00320C82">
        <w:trPr>
          <w:trHeight w:val="287"/>
        </w:trPr>
        <w:tc>
          <w:tcPr>
            <w:tcW w:w="5038"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Market Capitalisation (</w:t>
            </w:r>
            <w:r w:rsidRPr="00594A2A">
              <w:rPr>
                <w:rFonts w:ascii="Times New Roman" w:eastAsia="Times New Roman" w:hAnsi="Times New Roman"/>
                <w:b/>
                <w:bCs/>
                <w:sz w:val="20"/>
                <w:szCs w:val="20"/>
                <w:lang w:val="en-IN" w:eastAsia="en-IN" w:bidi="hi-IN"/>
              </w:rPr>
              <w:t>₹</w:t>
            </w:r>
            <w:r w:rsidRPr="00594A2A">
              <w:rPr>
                <w:rFonts w:ascii="Palatino Linotype" w:eastAsia="Times New Roman" w:hAnsi="Palatino Linotype"/>
                <w:b/>
                <w:bCs/>
                <w:sz w:val="20"/>
                <w:szCs w:val="20"/>
                <w:lang w:val="en-IN" w:eastAsia="en-IN" w:bidi="hi-IN"/>
              </w:rPr>
              <w:t xml:space="preserve"> crore)</w:t>
            </w:r>
          </w:p>
        </w:tc>
        <w:tc>
          <w:tcPr>
            <w:tcW w:w="1818" w:type="dxa"/>
            <w:tcBorders>
              <w:top w:val="nil"/>
              <w:left w:val="nil"/>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c>
          <w:tcPr>
            <w:tcW w:w="2163" w:type="dxa"/>
            <w:tcBorders>
              <w:top w:val="nil"/>
              <w:left w:val="nil"/>
              <w:bottom w:val="single" w:sz="4" w:space="0" w:color="000000"/>
              <w:right w:val="single" w:sz="4" w:space="0" w:color="000000"/>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BSE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2,07,02,706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2,22,99,810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7.7</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NSE</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2,05,56,971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2,21,51,945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7.8</w:t>
            </w:r>
          </w:p>
        </w:tc>
      </w:tr>
      <w:tr w:rsidR="002F2984" w:rsidRPr="009316A0" w:rsidTr="00320C82">
        <w:trPr>
          <w:trHeight w:val="287"/>
        </w:trPr>
        <w:tc>
          <w:tcPr>
            <w:tcW w:w="3220" w:type="dxa"/>
            <w:tcBorders>
              <w:top w:val="nil"/>
              <w:left w:val="single" w:sz="4" w:space="0" w:color="000000"/>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P/E Ratio</w:t>
            </w:r>
          </w:p>
        </w:tc>
        <w:tc>
          <w:tcPr>
            <w:tcW w:w="1818" w:type="dxa"/>
            <w:tcBorders>
              <w:top w:val="nil"/>
              <w:left w:val="nil"/>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c>
          <w:tcPr>
            <w:tcW w:w="1818" w:type="dxa"/>
            <w:tcBorders>
              <w:top w:val="nil"/>
              <w:left w:val="nil"/>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c>
          <w:tcPr>
            <w:tcW w:w="2163" w:type="dxa"/>
            <w:tcBorders>
              <w:top w:val="nil"/>
              <w:left w:val="nil"/>
              <w:bottom w:val="single" w:sz="4" w:space="0" w:color="000000"/>
              <w:right w:val="single" w:sz="4" w:space="0" w:color="000000"/>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Sensex</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32.1</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w:t>
            </w:r>
            <w:r>
              <w:rPr>
                <w:rFonts w:ascii="Palatino Linotype" w:eastAsia="Times New Roman" w:hAnsi="Palatino Linotype"/>
                <w:sz w:val="20"/>
                <w:szCs w:val="20"/>
                <w:lang w:val="en-IN" w:eastAsia="en-IN" w:bidi="hi-IN"/>
              </w:rPr>
              <w:t>31.3</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Pr>
                <w:rFonts w:ascii="Palatino Linotype" w:eastAsia="Times New Roman" w:hAnsi="Palatino Linotype"/>
                <w:sz w:val="20"/>
                <w:szCs w:val="20"/>
                <w:lang w:val="en-IN" w:eastAsia="en-IN" w:bidi="hi-IN"/>
              </w:rPr>
              <w:t>-2.4</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Nifty 50</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32.2</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w:t>
            </w:r>
            <w:r>
              <w:rPr>
                <w:rFonts w:ascii="Palatino Linotype" w:eastAsia="Times New Roman" w:hAnsi="Palatino Linotype"/>
                <w:sz w:val="20"/>
                <w:szCs w:val="20"/>
                <w:lang w:val="en-IN" w:eastAsia="en-IN" w:bidi="hi-IN"/>
              </w:rPr>
              <w:t>29.2</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Pr>
                <w:rFonts w:ascii="Palatino Linotype" w:eastAsia="Times New Roman" w:hAnsi="Palatino Linotype"/>
                <w:sz w:val="20"/>
                <w:szCs w:val="20"/>
                <w:lang w:val="en-IN" w:eastAsia="en-IN" w:bidi="hi-IN"/>
              </w:rPr>
              <w:t>-9.3</w:t>
            </w:r>
          </w:p>
        </w:tc>
      </w:tr>
      <w:tr w:rsidR="002F2984" w:rsidRPr="009316A0" w:rsidTr="00320C82">
        <w:trPr>
          <w:trHeight w:val="287"/>
        </w:trPr>
        <w:tc>
          <w:tcPr>
            <w:tcW w:w="3220" w:type="dxa"/>
            <w:tcBorders>
              <w:top w:val="nil"/>
              <w:left w:val="single" w:sz="4" w:space="0" w:color="000000"/>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No</w:t>
            </w:r>
            <w:r>
              <w:rPr>
                <w:rFonts w:ascii="Palatino Linotype" w:eastAsia="Times New Roman" w:hAnsi="Palatino Linotype"/>
                <w:b/>
                <w:bCs/>
                <w:sz w:val="20"/>
                <w:szCs w:val="20"/>
                <w:lang w:val="en-IN" w:eastAsia="en-IN" w:bidi="hi-IN"/>
              </w:rPr>
              <w:t>.</w:t>
            </w:r>
            <w:r w:rsidRPr="00594A2A">
              <w:rPr>
                <w:rFonts w:ascii="Palatino Linotype" w:eastAsia="Times New Roman" w:hAnsi="Palatino Linotype"/>
                <w:b/>
                <w:bCs/>
                <w:sz w:val="20"/>
                <w:szCs w:val="20"/>
                <w:lang w:val="en-IN" w:eastAsia="en-IN" w:bidi="hi-IN"/>
              </w:rPr>
              <w:t xml:space="preserve"> of Listed Companies</w:t>
            </w:r>
          </w:p>
        </w:tc>
        <w:tc>
          <w:tcPr>
            <w:tcW w:w="1818" w:type="dxa"/>
            <w:tcBorders>
              <w:top w:val="nil"/>
              <w:left w:val="nil"/>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c>
          <w:tcPr>
            <w:tcW w:w="1818" w:type="dxa"/>
            <w:tcBorders>
              <w:top w:val="nil"/>
              <w:left w:val="nil"/>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c>
          <w:tcPr>
            <w:tcW w:w="2163" w:type="dxa"/>
            <w:tcBorders>
              <w:top w:val="nil"/>
              <w:left w:val="nil"/>
              <w:bottom w:val="single" w:sz="4" w:space="0" w:color="000000"/>
              <w:right w:val="single" w:sz="4" w:space="0" w:color="000000"/>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BSE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5,485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5,489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0.1</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NSE</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1,968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1,973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0.3</w:t>
            </w:r>
          </w:p>
        </w:tc>
      </w:tr>
      <w:tr w:rsidR="002F2984" w:rsidRPr="009316A0" w:rsidTr="00320C82">
        <w:trPr>
          <w:trHeight w:val="287"/>
        </w:trPr>
        <w:tc>
          <w:tcPr>
            <w:tcW w:w="5038"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Gross Turnover in Equity Segment (</w:t>
            </w:r>
            <w:r w:rsidRPr="00594A2A">
              <w:rPr>
                <w:rFonts w:ascii="Times New Roman" w:eastAsia="Times New Roman" w:hAnsi="Times New Roman"/>
                <w:b/>
                <w:bCs/>
                <w:sz w:val="20"/>
                <w:szCs w:val="20"/>
                <w:lang w:val="en-IN" w:eastAsia="en-IN" w:bidi="hi-IN"/>
              </w:rPr>
              <w:t>₹</w:t>
            </w:r>
            <w:r w:rsidRPr="00594A2A">
              <w:rPr>
                <w:rFonts w:ascii="Palatino Linotype" w:eastAsia="Times New Roman" w:hAnsi="Palatino Linotype"/>
                <w:b/>
                <w:bCs/>
                <w:sz w:val="20"/>
                <w:szCs w:val="20"/>
                <w:lang w:val="en-IN" w:eastAsia="en-IN" w:bidi="hi-IN"/>
              </w:rPr>
              <w:t xml:space="preserve"> crore)</w:t>
            </w:r>
          </w:p>
        </w:tc>
        <w:tc>
          <w:tcPr>
            <w:tcW w:w="1818" w:type="dxa"/>
            <w:tcBorders>
              <w:top w:val="nil"/>
              <w:left w:val="nil"/>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c>
          <w:tcPr>
            <w:tcW w:w="2163" w:type="dxa"/>
            <w:tcBorders>
              <w:top w:val="nil"/>
              <w:left w:val="nil"/>
              <w:bottom w:val="single" w:sz="4" w:space="0" w:color="000000"/>
              <w:right w:val="single" w:sz="4" w:space="0" w:color="000000"/>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BSE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82,879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1,12,501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35.7</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NSE</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13,30,687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15,67,915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17.8</w:t>
            </w:r>
          </w:p>
        </w:tc>
      </w:tr>
      <w:tr w:rsidR="002F2984" w:rsidRPr="009316A0" w:rsidTr="00320C82">
        <w:trPr>
          <w:trHeight w:val="287"/>
        </w:trPr>
        <w:tc>
          <w:tcPr>
            <w:tcW w:w="6857"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Gross Turnover in Equity Derivatives Segment (</w:t>
            </w:r>
            <w:r w:rsidRPr="00594A2A">
              <w:rPr>
                <w:rFonts w:ascii="Times New Roman" w:eastAsia="Times New Roman" w:hAnsi="Times New Roman"/>
                <w:b/>
                <w:bCs/>
                <w:sz w:val="20"/>
                <w:szCs w:val="20"/>
                <w:lang w:val="en-IN" w:eastAsia="en-IN" w:bidi="hi-IN"/>
              </w:rPr>
              <w:t>₹</w:t>
            </w:r>
            <w:r w:rsidRPr="00594A2A">
              <w:rPr>
                <w:rFonts w:ascii="Palatino Linotype" w:eastAsia="Times New Roman" w:hAnsi="Palatino Linotype"/>
                <w:b/>
                <w:bCs/>
                <w:sz w:val="20"/>
                <w:szCs w:val="20"/>
                <w:lang w:val="en-IN" w:eastAsia="en-IN" w:bidi="hi-IN"/>
              </w:rPr>
              <w:t xml:space="preserve"> crore)</w:t>
            </w:r>
          </w:p>
        </w:tc>
        <w:tc>
          <w:tcPr>
            <w:tcW w:w="2163" w:type="dxa"/>
            <w:tcBorders>
              <w:top w:val="nil"/>
              <w:left w:val="nil"/>
              <w:bottom w:val="single" w:sz="4" w:space="0" w:color="000000"/>
              <w:right w:val="single" w:sz="4" w:space="0" w:color="000000"/>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BSE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60,38,012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64,79,644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7.3</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NSE</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8,86,35,463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8,66,52,832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-2.2</w:t>
            </w:r>
          </w:p>
        </w:tc>
      </w:tr>
      <w:tr w:rsidR="002F2984" w:rsidRPr="009316A0" w:rsidTr="00320C82">
        <w:trPr>
          <w:trHeight w:val="287"/>
        </w:trPr>
        <w:tc>
          <w:tcPr>
            <w:tcW w:w="6857"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Gross Turnover in Currency Derivatives Segment (</w:t>
            </w:r>
            <w:r w:rsidRPr="00594A2A">
              <w:rPr>
                <w:rFonts w:ascii="Times New Roman" w:eastAsia="Times New Roman" w:hAnsi="Times New Roman"/>
                <w:b/>
                <w:bCs/>
                <w:sz w:val="20"/>
                <w:szCs w:val="20"/>
                <w:lang w:val="en-IN" w:eastAsia="en-IN" w:bidi="hi-IN"/>
              </w:rPr>
              <w:t>₹</w:t>
            </w:r>
            <w:r w:rsidRPr="00594A2A">
              <w:rPr>
                <w:rFonts w:ascii="Palatino Linotype" w:eastAsia="Times New Roman" w:hAnsi="Palatino Linotype"/>
                <w:b/>
                <w:bCs/>
                <w:sz w:val="20"/>
                <w:szCs w:val="20"/>
                <w:lang w:val="en-IN" w:eastAsia="en-IN" w:bidi="hi-IN"/>
              </w:rPr>
              <w:t xml:space="preserve"> crore)</w:t>
            </w:r>
          </w:p>
        </w:tc>
        <w:tc>
          <w:tcPr>
            <w:tcW w:w="2163" w:type="dxa"/>
            <w:tcBorders>
              <w:top w:val="nil"/>
              <w:left w:val="nil"/>
              <w:bottom w:val="single" w:sz="4" w:space="0" w:color="000000"/>
              <w:right w:val="single" w:sz="4" w:space="0" w:color="000000"/>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 </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BSE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4,48,636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4,17,946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-6.8</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NSE</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14,90,638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11,05,378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-25.8</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MSEI</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9,626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12,608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31.0</w:t>
            </w:r>
          </w:p>
        </w:tc>
      </w:tr>
      <w:tr w:rsidR="002F2984" w:rsidRPr="009316A0" w:rsidTr="00320C82">
        <w:trPr>
          <w:trHeight w:val="287"/>
        </w:trPr>
        <w:tc>
          <w:tcPr>
            <w:tcW w:w="9020"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rsidR="002F2984" w:rsidRPr="00594A2A" w:rsidRDefault="002F2984" w:rsidP="00320C82">
            <w:pPr>
              <w:rPr>
                <w:rFonts w:ascii="Palatino Linotype" w:eastAsia="Times New Roman" w:hAnsi="Palatino Linotype"/>
                <w:b/>
                <w:bCs/>
                <w:sz w:val="20"/>
                <w:szCs w:val="20"/>
                <w:lang w:val="en-IN" w:eastAsia="en-IN" w:bidi="hi-IN"/>
              </w:rPr>
            </w:pPr>
            <w:r w:rsidRPr="00594A2A">
              <w:rPr>
                <w:rFonts w:ascii="Palatino Linotype" w:eastAsia="Times New Roman" w:hAnsi="Palatino Linotype"/>
                <w:b/>
                <w:bCs/>
                <w:sz w:val="20"/>
                <w:szCs w:val="20"/>
                <w:lang w:val="en-IN" w:eastAsia="en-IN" w:bidi="hi-IN"/>
              </w:rPr>
              <w:t>Gross Turnover in Interest Rate Derivatives Segment (</w:t>
            </w:r>
            <w:r w:rsidRPr="00594A2A">
              <w:rPr>
                <w:rFonts w:ascii="Times New Roman" w:eastAsia="Times New Roman" w:hAnsi="Times New Roman"/>
                <w:b/>
                <w:bCs/>
                <w:sz w:val="20"/>
                <w:szCs w:val="20"/>
                <w:lang w:val="en-IN" w:eastAsia="en-IN" w:bidi="hi-IN"/>
              </w:rPr>
              <w:t>₹</w:t>
            </w:r>
            <w:r w:rsidRPr="00594A2A">
              <w:rPr>
                <w:rFonts w:ascii="Palatino Linotype" w:eastAsia="Times New Roman" w:hAnsi="Palatino Linotype"/>
                <w:b/>
                <w:bCs/>
                <w:sz w:val="20"/>
                <w:szCs w:val="20"/>
                <w:lang w:val="en-IN" w:eastAsia="en-IN" w:bidi="hi-IN"/>
              </w:rPr>
              <w:t xml:space="preserve"> crore)</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BSE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155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2,276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1,364.1</w:t>
            </w:r>
          </w:p>
        </w:tc>
      </w:tr>
      <w:tr w:rsidR="002F2984" w:rsidRPr="009316A0" w:rsidTr="00320C82">
        <w:trPr>
          <w:trHeight w:val="287"/>
        </w:trPr>
        <w:tc>
          <w:tcPr>
            <w:tcW w:w="3220" w:type="dxa"/>
            <w:tcBorders>
              <w:top w:val="nil"/>
              <w:left w:val="single" w:sz="4" w:space="0" w:color="000000"/>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NSE</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2,365 </w:t>
            </w:r>
          </w:p>
        </w:tc>
        <w:tc>
          <w:tcPr>
            <w:tcW w:w="1818"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 xml:space="preserve">                    2,811 </w:t>
            </w:r>
          </w:p>
        </w:tc>
        <w:tc>
          <w:tcPr>
            <w:tcW w:w="2163" w:type="dxa"/>
            <w:tcBorders>
              <w:top w:val="nil"/>
              <w:left w:val="nil"/>
              <w:bottom w:val="single" w:sz="4" w:space="0" w:color="000000"/>
              <w:right w:val="single" w:sz="4" w:space="0" w:color="000000"/>
            </w:tcBorders>
            <w:shd w:val="clear" w:color="auto" w:fill="auto"/>
            <w:noWrap/>
            <w:vAlign w:val="bottom"/>
            <w:hideMark/>
          </w:tcPr>
          <w:p w:rsidR="002F2984" w:rsidRPr="00594A2A" w:rsidRDefault="002F2984" w:rsidP="00320C82">
            <w:pPr>
              <w:jc w:val="right"/>
              <w:rPr>
                <w:rFonts w:ascii="Palatino Linotype" w:eastAsia="Times New Roman" w:hAnsi="Palatino Linotype"/>
                <w:sz w:val="20"/>
                <w:szCs w:val="20"/>
                <w:lang w:val="en-IN" w:eastAsia="en-IN" w:bidi="hi-IN"/>
              </w:rPr>
            </w:pPr>
            <w:r w:rsidRPr="00594A2A">
              <w:rPr>
                <w:rFonts w:ascii="Palatino Linotype" w:eastAsia="Times New Roman" w:hAnsi="Palatino Linotype"/>
                <w:sz w:val="20"/>
                <w:szCs w:val="20"/>
                <w:lang w:val="en-IN" w:eastAsia="en-IN" w:bidi="hi-IN"/>
              </w:rPr>
              <w:t>18.9</w:t>
            </w:r>
          </w:p>
        </w:tc>
      </w:tr>
    </w:tbl>
    <w:p w:rsidR="002F2984" w:rsidRDefault="002F2984" w:rsidP="002F2984">
      <w:pPr>
        <w:spacing w:line="276" w:lineRule="auto"/>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Note: #NSE change</w:t>
      </w:r>
      <w:r w:rsidR="00926034">
        <w:rPr>
          <w:rFonts w:ascii="Palatino Linotype" w:eastAsia="Palatino Linotype" w:hAnsi="Palatino Linotype" w:cs="Palatino Linotype"/>
          <w:b/>
          <w:sz w:val="18"/>
          <w:szCs w:val="18"/>
        </w:rPr>
        <w:t>d</w:t>
      </w:r>
      <w:r>
        <w:rPr>
          <w:rFonts w:ascii="Palatino Linotype" w:eastAsia="Palatino Linotype" w:hAnsi="Palatino Linotype" w:cs="Palatino Linotype"/>
          <w:b/>
          <w:sz w:val="18"/>
          <w:szCs w:val="18"/>
        </w:rPr>
        <w:t xml:space="preserve"> the PE methodology by taking into </w:t>
      </w:r>
      <w:r w:rsidR="00926034">
        <w:rPr>
          <w:rFonts w:ascii="Palatino Linotype" w:eastAsia="Palatino Linotype" w:hAnsi="Palatino Linotype" w:cs="Palatino Linotype"/>
          <w:b/>
          <w:sz w:val="18"/>
          <w:szCs w:val="18"/>
        </w:rPr>
        <w:t xml:space="preserve">account </w:t>
      </w:r>
      <w:r>
        <w:rPr>
          <w:rFonts w:ascii="Palatino Linotype" w:eastAsia="Palatino Linotype" w:hAnsi="Palatino Linotype" w:cs="Palatino Linotype"/>
          <w:b/>
          <w:sz w:val="18"/>
          <w:szCs w:val="18"/>
        </w:rPr>
        <w:t>consolidated earning</w:t>
      </w:r>
      <w:r w:rsidR="00926034">
        <w:rPr>
          <w:rFonts w:ascii="Palatino Linotype" w:eastAsia="Palatino Linotype" w:hAnsi="Palatino Linotype" w:cs="Palatino Linotype"/>
          <w:b/>
          <w:sz w:val="18"/>
          <w:szCs w:val="18"/>
        </w:rPr>
        <w:t>s</w:t>
      </w:r>
      <w:r>
        <w:rPr>
          <w:rFonts w:ascii="Palatino Linotype" w:eastAsia="Palatino Linotype" w:hAnsi="Palatino Linotype" w:cs="Palatino Linotype"/>
          <w:b/>
          <w:sz w:val="18"/>
          <w:szCs w:val="18"/>
        </w:rPr>
        <w:t xml:space="preserve"> w.e.f. March 31, 2021</w:t>
      </w:r>
    </w:p>
    <w:p w:rsidR="002F2984" w:rsidRPr="00C41524" w:rsidRDefault="002F2984" w:rsidP="002F2984">
      <w:pPr>
        <w:spacing w:line="276" w:lineRule="auto"/>
        <w:rPr>
          <w:rFonts w:ascii="Palatino Linotype" w:eastAsia="Palatino Linotype" w:hAnsi="Palatino Linotype" w:cs="Palatino Linotype"/>
          <w:b/>
          <w:sz w:val="18"/>
          <w:szCs w:val="18"/>
        </w:rPr>
      </w:pPr>
      <w:r w:rsidRPr="00C41524">
        <w:rPr>
          <w:rFonts w:ascii="Palatino Linotype" w:eastAsia="Palatino Linotype" w:hAnsi="Palatino Linotype" w:cs="Palatino Linotype"/>
          <w:b/>
          <w:sz w:val="18"/>
          <w:szCs w:val="18"/>
        </w:rPr>
        <w:t>Source: BSE, NSE and MSEI</w:t>
      </w:r>
      <w:r w:rsidRPr="00C41524">
        <w:rPr>
          <w:rFonts w:ascii="Palatino Linotype" w:eastAsia="Palatino Linotype" w:hAnsi="Palatino Linotype" w:cs="Palatino Linotype"/>
          <w:b/>
          <w:sz w:val="18"/>
          <w:szCs w:val="18"/>
        </w:rPr>
        <w:br w:type="page"/>
      </w: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lastRenderedPageBreak/>
        <w:t xml:space="preserve">Figure 1: Movement of S&amp;P BSE Sensex and Nifty 50 during </w:t>
      </w:r>
      <w:r>
        <w:rPr>
          <w:rFonts w:ascii="Palatino Linotype" w:eastAsia="Palatino Linotype" w:hAnsi="Palatino Linotype" w:cs="Palatino Linotype"/>
          <w:b/>
          <w:sz w:val="22"/>
          <w:szCs w:val="22"/>
        </w:rPr>
        <w:t>May</w:t>
      </w:r>
      <w:r w:rsidRPr="002357A9">
        <w:rPr>
          <w:rFonts w:ascii="Palatino Linotype" w:eastAsia="Palatino Linotype" w:hAnsi="Palatino Linotype" w:cs="Palatino Linotype"/>
          <w:b/>
          <w:sz w:val="22"/>
          <w:szCs w:val="22"/>
        </w:rPr>
        <w:t xml:space="preserve"> 2021</w:t>
      </w:r>
    </w:p>
    <w:p w:rsidR="002F2984" w:rsidRPr="002357A9" w:rsidRDefault="002F2984" w:rsidP="002F2984">
      <w:pPr>
        <w:spacing w:line="276" w:lineRule="auto"/>
        <w:rPr>
          <w:rFonts w:ascii="Palatino Linotype" w:eastAsia="Palatino Linotype" w:hAnsi="Palatino Linotype" w:cs="Palatino Linotype"/>
          <w:bCs/>
          <w:sz w:val="22"/>
          <w:szCs w:val="22"/>
          <w:highlight w:val="yellow"/>
        </w:rPr>
      </w:pPr>
      <w:r w:rsidRPr="009316A0">
        <w:rPr>
          <w:noProof/>
          <w:lang w:val="en-IN" w:eastAsia="en-IN" w:bidi="hi-IN"/>
        </w:rPr>
        <w:drawing>
          <wp:inline distT="0" distB="0" distL="0" distR="0">
            <wp:extent cx="5878830" cy="2626995"/>
            <wp:effectExtent l="0" t="0" r="7620" b="190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2984" w:rsidRPr="00C41524" w:rsidRDefault="002F2984" w:rsidP="002F2984">
      <w:pPr>
        <w:spacing w:line="276" w:lineRule="auto"/>
        <w:rPr>
          <w:rFonts w:ascii="Palatino Linotype" w:eastAsia="Palatino Linotype" w:hAnsi="Palatino Linotype" w:cs="Palatino Linotype"/>
          <w:b/>
          <w:i/>
          <w:iCs/>
          <w:sz w:val="18"/>
          <w:szCs w:val="18"/>
        </w:rPr>
      </w:pPr>
      <w:r w:rsidRPr="00C41524">
        <w:rPr>
          <w:rFonts w:ascii="Palatino Linotype" w:eastAsia="Palatino Linotype" w:hAnsi="Palatino Linotype" w:cs="Palatino Linotype"/>
          <w:b/>
          <w:i/>
          <w:iCs/>
          <w:sz w:val="18"/>
          <w:szCs w:val="18"/>
        </w:rPr>
        <w:t xml:space="preserve">Note: The closing values of Nifty 50 and Sensex have been rebased with respective closing values of </w:t>
      </w:r>
      <w:r>
        <w:rPr>
          <w:rFonts w:ascii="Palatino Linotype" w:eastAsia="Palatino Linotype" w:hAnsi="Palatino Linotype" w:cs="Palatino Linotype"/>
          <w:b/>
          <w:i/>
          <w:iCs/>
          <w:sz w:val="18"/>
          <w:szCs w:val="18"/>
        </w:rPr>
        <w:t>last</w:t>
      </w:r>
      <w:r w:rsidRPr="00C41524">
        <w:rPr>
          <w:rFonts w:ascii="Palatino Linotype" w:eastAsia="Palatino Linotype" w:hAnsi="Palatino Linotype" w:cs="Palatino Linotype"/>
          <w:b/>
          <w:i/>
          <w:iCs/>
          <w:sz w:val="18"/>
          <w:szCs w:val="18"/>
        </w:rPr>
        <w:t xml:space="preserve"> day of the</w:t>
      </w:r>
      <w:r>
        <w:rPr>
          <w:rFonts w:ascii="Palatino Linotype" w:eastAsia="Palatino Linotype" w:hAnsi="Palatino Linotype" w:cs="Palatino Linotype"/>
          <w:b/>
          <w:i/>
          <w:iCs/>
          <w:sz w:val="18"/>
          <w:szCs w:val="18"/>
        </w:rPr>
        <w:t xml:space="preserve"> previous</w:t>
      </w:r>
      <w:r w:rsidRPr="00C41524">
        <w:rPr>
          <w:rFonts w:ascii="Palatino Linotype" w:eastAsia="Palatino Linotype" w:hAnsi="Palatino Linotype" w:cs="Palatino Linotype"/>
          <w:b/>
          <w:i/>
          <w:iCs/>
          <w:sz w:val="18"/>
          <w:szCs w:val="18"/>
        </w:rPr>
        <w:t xml:space="preserve"> month. </w:t>
      </w:r>
    </w:p>
    <w:p w:rsidR="002F2984" w:rsidRPr="00C41524" w:rsidRDefault="002F2984" w:rsidP="002F2984">
      <w:pPr>
        <w:spacing w:line="276" w:lineRule="auto"/>
        <w:rPr>
          <w:rFonts w:ascii="Palatino Linotype" w:eastAsia="Palatino Linotype" w:hAnsi="Palatino Linotype" w:cs="Palatino Linotype"/>
          <w:b/>
          <w:sz w:val="18"/>
          <w:szCs w:val="18"/>
        </w:rPr>
      </w:pPr>
      <w:r w:rsidRPr="00C41524">
        <w:rPr>
          <w:rFonts w:ascii="Palatino Linotype" w:eastAsia="Palatino Linotype" w:hAnsi="Palatino Linotype" w:cs="Palatino Linotype"/>
          <w:b/>
          <w:sz w:val="18"/>
          <w:szCs w:val="18"/>
        </w:rPr>
        <w:t xml:space="preserve"> Source: BSE and NSE</w:t>
      </w:r>
    </w:p>
    <w:p w:rsidR="002F2984" w:rsidRPr="002357A9" w:rsidRDefault="002F2984" w:rsidP="002F2984">
      <w:pPr>
        <w:spacing w:line="276" w:lineRule="auto"/>
        <w:rPr>
          <w:rFonts w:ascii="Palatino Linotype" w:eastAsia="Palatino Linotype" w:hAnsi="Palatino Linotype" w:cs="Palatino Linotype"/>
          <w:b/>
          <w:sz w:val="22"/>
          <w:szCs w:val="22"/>
        </w:rPr>
      </w:pPr>
    </w:p>
    <w:p w:rsidR="002F2984" w:rsidRPr="002357A9"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357A9">
        <w:rPr>
          <w:rFonts w:ascii="Palatino Linotype" w:eastAsia="Palatino Linotype" w:hAnsi="Palatino Linotype" w:cs="Palatino Linotype"/>
          <w:sz w:val="22"/>
          <w:szCs w:val="22"/>
        </w:rPr>
        <w:t xml:space="preserve">At the end of </w:t>
      </w:r>
      <w:r>
        <w:rPr>
          <w:rFonts w:ascii="Palatino Linotype" w:eastAsia="Palatino Linotype" w:hAnsi="Palatino Linotype" w:cs="Palatino Linotype"/>
          <w:sz w:val="22"/>
          <w:szCs w:val="22"/>
        </w:rPr>
        <w:t>May</w:t>
      </w:r>
      <w:r w:rsidRPr="002357A9">
        <w:rPr>
          <w:rFonts w:ascii="Palatino Linotype" w:eastAsia="Palatino Linotype" w:hAnsi="Palatino Linotype" w:cs="Palatino Linotype"/>
          <w:sz w:val="22"/>
          <w:szCs w:val="22"/>
        </w:rPr>
        <w:t xml:space="preserve"> 2021, the market capitalisation of both the BSE and NSE </w:t>
      </w:r>
      <w:r>
        <w:rPr>
          <w:rFonts w:ascii="Palatino Linotype" w:eastAsia="Palatino Linotype" w:hAnsi="Palatino Linotype" w:cs="Palatino Linotype"/>
          <w:sz w:val="22"/>
          <w:szCs w:val="22"/>
        </w:rPr>
        <w:t>in</w:t>
      </w:r>
      <w:r w:rsidRPr="002357A9">
        <w:rPr>
          <w:rFonts w:ascii="Palatino Linotype" w:eastAsia="Palatino Linotype" w:hAnsi="Palatino Linotype" w:cs="Palatino Linotype"/>
          <w:sz w:val="22"/>
          <w:szCs w:val="22"/>
        </w:rPr>
        <w:t xml:space="preserve">creased by </w:t>
      </w:r>
      <w:r>
        <w:rPr>
          <w:rFonts w:ascii="Palatino Linotype" w:eastAsia="Palatino Linotype" w:hAnsi="Palatino Linotype" w:cs="Palatino Linotype"/>
          <w:sz w:val="22"/>
          <w:szCs w:val="22"/>
        </w:rPr>
        <w:t>7.7 per cent and 7.8 per cent respectively</w:t>
      </w:r>
      <w:r w:rsidRPr="002357A9">
        <w:rPr>
          <w:rFonts w:ascii="Palatino Linotype" w:eastAsia="Palatino Linotype" w:hAnsi="Palatino Linotype" w:cs="Palatino Linotype"/>
          <w:sz w:val="22"/>
          <w:szCs w:val="22"/>
        </w:rPr>
        <w:t xml:space="preserve"> per cent </w:t>
      </w:r>
      <w:r>
        <w:rPr>
          <w:rFonts w:ascii="Palatino Linotype" w:eastAsia="Palatino Linotype" w:hAnsi="Palatino Linotype" w:cs="Palatino Linotype"/>
          <w:sz w:val="22"/>
          <w:szCs w:val="22"/>
        </w:rPr>
        <w:t xml:space="preserve">each </w:t>
      </w:r>
      <w:r w:rsidRPr="002357A9">
        <w:rPr>
          <w:rFonts w:ascii="Palatino Linotype" w:eastAsia="Palatino Linotype" w:hAnsi="Palatino Linotype" w:cs="Palatino Linotype"/>
          <w:sz w:val="22"/>
          <w:szCs w:val="22"/>
        </w:rPr>
        <w:t xml:space="preserve">over the level as at the end of </w:t>
      </w:r>
      <w:r>
        <w:rPr>
          <w:rFonts w:ascii="Palatino Linotype" w:eastAsia="Palatino Linotype" w:hAnsi="Palatino Linotype" w:cs="Palatino Linotype"/>
          <w:sz w:val="22"/>
          <w:szCs w:val="22"/>
        </w:rPr>
        <w:t>previous</w:t>
      </w:r>
      <w:r w:rsidRPr="002357A9">
        <w:rPr>
          <w:rFonts w:ascii="Palatino Linotype" w:eastAsia="Palatino Linotype" w:hAnsi="Palatino Linotype" w:cs="Palatino Linotype"/>
          <w:sz w:val="22"/>
          <w:szCs w:val="22"/>
        </w:rPr>
        <w:t xml:space="preserve"> month.  </w:t>
      </w:r>
    </w:p>
    <w:p w:rsidR="002F2984" w:rsidRPr="002357A9" w:rsidRDefault="002F2984" w:rsidP="002F2984">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highlight w:val="yellow"/>
        </w:rPr>
      </w:pP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2357A9">
        <w:rPr>
          <w:rFonts w:ascii="Palatino Linotype" w:eastAsia="Palatino Linotype" w:hAnsi="Palatino Linotype" w:cs="Palatino Linotype"/>
          <w:b/>
          <w:sz w:val="22"/>
          <w:szCs w:val="22"/>
        </w:rPr>
        <w:t xml:space="preserve">Figure 2: Trends in Average Daily Values of Nifty 50 and </w:t>
      </w:r>
      <w:r>
        <w:rPr>
          <w:rFonts w:ascii="Palatino Linotype" w:eastAsia="Palatino Linotype" w:hAnsi="Palatino Linotype" w:cs="Palatino Linotype"/>
          <w:b/>
          <w:sz w:val="22"/>
          <w:szCs w:val="22"/>
        </w:rPr>
        <w:t xml:space="preserve">Average Daily Turnover of </w:t>
      </w:r>
      <w:r w:rsidRPr="002357A9">
        <w:rPr>
          <w:rFonts w:ascii="Palatino Linotype" w:eastAsia="Palatino Linotype" w:hAnsi="Palatino Linotype" w:cs="Palatino Linotype"/>
          <w:b/>
          <w:sz w:val="22"/>
          <w:szCs w:val="22"/>
        </w:rPr>
        <w:t xml:space="preserve">NSE Equity Cash Segment </w:t>
      </w: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9316A0">
        <w:rPr>
          <w:noProof/>
          <w:lang w:val="en-IN" w:eastAsia="en-IN" w:bidi="hi-IN"/>
        </w:rPr>
        <w:drawing>
          <wp:inline distT="0" distB="0" distL="0" distR="0">
            <wp:extent cx="4568190" cy="2739390"/>
            <wp:effectExtent l="0" t="0" r="3810" b="381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2984" w:rsidRPr="00C41524" w:rsidRDefault="002F2984" w:rsidP="002F2984">
      <w:pPr>
        <w:spacing w:line="276" w:lineRule="auto"/>
        <w:ind w:left="1276"/>
        <w:rPr>
          <w:rFonts w:ascii="Palatino Linotype" w:eastAsia="Palatino Linotype" w:hAnsi="Palatino Linotype" w:cs="Palatino Linotype"/>
          <w:b/>
          <w:sz w:val="18"/>
          <w:szCs w:val="18"/>
        </w:rPr>
      </w:pPr>
      <w:r w:rsidRPr="00C41524">
        <w:rPr>
          <w:rFonts w:ascii="Palatino Linotype" w:eastAsia="Palatino Linotype" w:hAnsi="Palatino Linotype" w:cs="Palatino Linotype"/>
          <w:b/>
          <w:sz w:val="18"/>
          <w:szCs w:val="18"/>
        </w:rPr>
        <w:t xml:space="preserve">    Note: ADV implies Average Daily Values and A</w:t>
      </w:r>
      <w:r>
        <w:rPr>
          <w:rFonts w:ascii="Palatino Linotype" w:eastAsia="Palatino Linotype" w:hAnsi="Palatino Linotype" w:cs="Palatino Linotype"/>
          <w:b/>
          <w:sz w:val="18"/>
          <w:szCs w:val="18"/>
        </w:rPr>
        <w:t>DT</w:t>
      </w:r>
      <w:r w:rsidRPr="00C41524">
        <w:rPr>
          <w:rFonts w:ascii="Palatino Linotype" w:eastAsia="Palatino Linotype" w:hAnsi="Palatino Linotype" w:cs="Palatino Linotype"/>
          <w:b/>
          <w:sz w:val="18"/>
          <w:szCs w:val="18"/>
        </w:rPr>
        <w:t xml:space="preserve"> implies Average Daily Turnover</w:t>
      </w:r>
    </w:p>
    <w:p w:rsidR="002F2984" w:rsidRPr="00C41524" w:rsidRDefault="002F2984" w:rsidP="002F2984">
      <w:pPr>
        <w:spacing w:line="276" w:lineRule="auto"/>
        <w:ind w:left="1276"/>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r w:rsidRPr="00C41524">
        <w:rPr>
          <w:rFonts w:ascii="Palatino Linotype" w:eastAsia="Palatino Linotype" w:hAnsi="Palatino Linotype" w:cs="Palatino Linotype"/>
          <w:b/>
          <w:sz w:val="18"/>
          <w:szCs w:val="18"/>
        </w:rPr>
        <w:t xml:space="preserve">Source: NSE  </w:t>
      </w:r>
      <w:r w:rsidRPr="00C41524">
        <w:rPr>
          <w:rFonts w:ascii="Palatino Linotype" w:eastAsia="Palatino Linotype" w:hAnsi="Palatino Linotype" w:cs="Palatino Linotype"/>
          <w:b/>
          <w:sz w:val="18"/>
          <w:szCs w:val="18"/>
        </w:rPr>
        <w:br w:type="page"/>
      </w:r>
    </w:p>
    <w:p w:rsidR="002F2984" w:rsidRDefault="002F2984" w:rsidP="002F2984">
      <w:pPr>
        <w:pBdr>
          <w:top w:val="nil"/>
          <w:left w:val="nil"/>
          <w:bottom w:val="nil"/>
          <w:right w:val="nil"/>
          <w:between w:val="nil"/>
        </w:pBdr>
        <w:spacing w:line="276" w:lineRule="auto"/>
        <w:jc w:val="center"/>
        <w:rPr>
          <w:noProof/>
          <w:lang w:val="en-IN" w:eastAsia="en-IN" w:bidi="hi-IN"/>
        </w:rPr>
      </w:pPr>
      <w:r w:rsidRPr="002357A9">
        <w:rPr>
          <w:rFonts w:ascii="Palatino Linotype" w:eastAsia="Palatino Linotype" w:hAnsi="Palatino Linotype" w:cs="Palatino Linotype"/>
          <w:b/>
          <w:sz w:val="22"/>
          <w:szCs w:val="22"/>
        </w:rPr>
        <w:lastRenderedPageBreak/>
        <w:t xml:space="preserve">Figure 3: Trends in Average Daily Values of </w:t>
      </w:r>
      <w:r>
        <w:rPr>
          <w:rFonts w:ascii="Palatino Linotype" w:eastAsia="Palatino Linotype" w:hAnsi="Palatino Linotype" w:cs="Palatino Linotype"/>
          <w:b/>
          <w:sz w:val="22"/>
          <w:szCs w:val="22"/>
        </w:rPr>
        <w:t>Sensex</w:t>
      </w:r>
      <w:r w:rsidRPr="002357A9">
        <w:rPr>
          <w:rFonts w:ascii="Palatino Linotype" w:eastAsia="Palatino Linotype" w:hAnsi="Palatino Linotype" w:cs="Palatino Linotype"/>
          <w:b/>
          <w:sz w:val="22"/>
          <w:szCs w:val="22"/>
        </w:rPr>
        <w:t xml:space="preserve"> and </w:t>
      </w:r>
      <w:r>
        <w:rPr>
          <w:rFonts w:ascii="Palatino Linotype" w:eastAsia="Palatino Linotype" w:hAnsi="Palatino Linotype" w:cs="Palatino Linotype"/>
          <w:b/>
          <w:sz w:val="22"/>
          <w:szCs w:val="22"/>
        </w:rPr>
        <w:t>Average Daily Turnover of B</w:t>
      </w:r>
      <w:r w:rsidRPr="002357A9">
        <w:rPr>
          <w:rFonts w:ascii="Palatino Linotype" w:eastAsia="Palatino Linotype" w:hAnsi="Palatino Linotype" w:cs="Palatino Linotype"/>
          <w:b/>
          <w:sz w:val="22"/>
          <w:szCs w:val="22"/>
        </w:rPr>
        <w:t xml:space="preserve">SE Equity Cash Segment </w:t>
      </w:r>
    </w:p>
    <w:p w:rsidR="002F2984" w:rsidRPr="002357A9" w:rsidRDefault="002F2984" w:rsidP="002F2984">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9316A0">
        <w:rPr>
          <w:noProof/>
          <w:lang w:val="en-IN" w:eastAsia="en-IN" w:bidi="hi-IN"/>
        </w:rPr>
        <w:drawing>
          <wp:inline distT="0" distB="0" distL="0" distR="0">
            <wp:extent cx="4641215" cy="1917065"/>
            <wp:effectExtent l="0" t="0" r="6985" b="698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2984" w:rsidRPr="00C41524" w:rsidRDefault="002F2984" w:rsidP="002F2984">
      <w:pPr>
        <w:spacing w:line="276" w:lineRule="auto"/>
        <w:ind w:left="1134"/>
        <w:rPr>
          <w:rFonts w:ascii="Palatino Linotype" w:eastAsia="Palatino Linotype" w:hAnsi="Palatino Linotype" w:cs="Palatino Linotype"/>
          <w:b/>
          <w:sz w:val="18"/>
          <w:szCs w:val="18"/>
        </w:rPr>
      </w:pPr>
      <w:r w:rsidRPr="00C41524">
        <w:rPr>
          <w:rFonts w:ascii="Palatino Linotype" w:eastAsia="Palatino Linotype" w:hAnsi="Palatino Linotype" w:cs="Palatino Linotype"/>
          <w:b/>
          <w:sz w:val="18"/>
          <w:szCs w:val="18"/>
        </w:rPr>
        <w:t xml:space="preserve">    Note: ADV implies Average Daily Values and A</w:t>
      </w:r>
      <w:r>
        <w:rPr>
          <w:rFonts w:ascii="Palatino Linotype" w:eastAsia="Palatino Linotype" w:hAnsi="Palatino Linotype" w:cs="Palatino Linotype"/>
          <w:b/>
          <w:sz w:val="18"/>
          <w:szCs w:val="18"/>
        </w:rPr>
        <w:t>DT</w:t>
      </w:r>
      <w:r w:rsidRPr="00C41524">
        <w:rPr>
          <w:rFonts w:ascii="Palatino Linotype" w:eastAsia="Palatino Linotype" w:hAnsi="Palatino Linotype" w:cs="Palatino Linotype"/>
          <w:b/>
          <w:sz w:val="18"/>
          <w:szCs w:val="18"/>
        </w:rPr>
        <w:t xml:space="preserve"> implies Average Daily Turnover</w:t>
      </w:r>
    </w:p>
    <w:p w:rsidR="002F2984" w:rsidRPr="00C41524" w:rsidRDefault="002F2984" w:rsidP="002F2984">
      <w:pPr>
        <w:spacing w:line="276" w:lineRule="auto"/>
        <w:ind w:left="1134"/>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r w:rsidRPr="00C41524">
        <w:rPr>
          <w:rFonts w:ascii="Palatino Linotype" w:eastAsia="Palatino Linotype" w:hAnsi="Palatino Linotype" w:cs="Palatino Linotype"/>
          <w:b/>
          <w:sz w:val="18"/>
          <w:szCs w:val="18"/>
        </w:rPr>
        <w:t xml:space="preserve">Source: BSE  </w:t>
      </w:r>
    </w:p>
    <w:p w:rsidR="002F2984" w:rsidRPr="002357A9" w:rsidRDefault="002F2984" w:rsidP="002F2984">
      <w:pPr>
        <w:spacing w:line="276" w:lineRule="auto"/>
        <w:jc w:val="both"/>
        <w:rPr>
          <w:rFonts w:ascii="Palatino Linotype" w:eastAsia="Palatino Linotype" w:hAnsi="Palatino Linotype" w:cs="Palatino Linotype"/>
          <w:color w:val="2E74B5"/>
          <w:sz w:val="22"/>
          <w:szCs w:val="22"/>
        </w:rPr>
      </w:pPr>
    </w:p>
    <w:p w:rsidR="002F2984" w:rsidRPr="00C41524"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C41524">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May</w:t>
      </w:r>
      <w:r w:rsidRPr="00C41524">
        <w:rPr>
          <w:rFonts w:ascii="Palatino Linotype" w:eastAsia="Palatino Linotype" w:hAnsi="Palatino Linotype" w:cs="Palatino Linotype"/>
          <w:sz w:val="22"/>
          <w:szCs w:val="22"/>
        </w:rPr>
        <w:t xml:space="preserve"> 2021, the gross turnover in the equity cash segments, both at BSE and NSE, </w:t>
      </w:r>
      <w:r>
        <w:rPr>
          <w:rFonts w:ascii="Palatino Linotype" w:eastAsia="Palatino Linotype" w:hAnsi="Palatino Linotype" w:cs="Palatino Linotype"/>
          <w:sz w:val="22"/>
          <w:szCs w:val="22"/>
        </w:rPr>
        <w:t>increased</w:t>
      </w:r>
      <w:r w:rsidRPr="00C41524">
        <w:rPr>
          <w:rFonts w:ascii="Palatino Linotype" w:eastAsia="Palatino Linotype" w:hAnsi="Palatino Linotype" w:cs="Palatino Linotype"/>
          <w:sz w:val="22"/>
          <w:szCs w:val="22"/>
        </w:rPr>
        <w:t xml:space="preserve"> by </w:t>
      </w:r>
      <w:r>
        <w:rPr>
          <w:rFonts w:ascii="Palatino Linotype" w:eastAsia="Palatino Linotype" w:hAnsi="Palatino Linotype" w:cs="Palatino Linotype"/>
          <w:sz w:val="22"/>
          <w:szCs w:val="22"/>
        </w:rPr>
        <w:t>35.7</w:t>
      </w:r>
      <w:r w:rsidRPr="00C41524">
        <w:rPr>
          <w:rFonts w:ascii="Palatino Linotype" w:eastAsia="Palatino Linotype" w:hAnsi="Palatino Linotype" w:cs="Palatino Linotype"/>
          <w:sz w:val="22"/>
          <w:szCs w:val="22"/>
        </w:rPr>
        <w:t xml:space="preserve"> per cent and </w:t>
      </w:r>
      <w:r>
        <w:rPr>
          <w:rFonts w:ascii="Palatino Linotype" w:eastAsia="Palatino Linotype" w:hAnsi="Palatino Linotype" w:cs="Palatino Linotype"/>
          <w:sz w:val="22"/>
          <w:szCs w:val="22"/>
        </w:rPr>
        <w:t>17.8</w:t>
      </w:r>
      <w:r w:rsidRPr="00C41524">
        <w:rPr>
          <w:rFonts w:ascii="Palatino Linotype" w:eastAsia="Palatino Linotype" w:hAnsi="Palatino Linotype" w:cs="Palatino Linotype"/>
          <w:sz w:val="22"/>
          <w:szCs w:val="22"/>
        </w:rPr>
        <w:t xml:space="preserve"> per cent, respectively</w:t>
      </w:r>
      <w:r>
        <w:rPr>
          <w:rFonts w:ascii="Palatino Linotype" w:eastAsia="Palatino Linotype" w:hAnsi="Palatino Linotype" w:cs="Palatino Linotype"/>
          <w:sz w:val="22"/>
          <w:szCs w:val="22"/>
        </w:rPr>
        <w:t xml:space="preserve"> over previous month</w:t>
      </w:r>
      <w:r w:rsidRPr="00C41524">
        <w:rPr>
          <w:rFonts w:ascii="Palatino Linotype" w:eastAsia="Palatino Linotype" w:hAnsi="Palatino Linotype" w:cs="Palatino Linotype"/>
          <w:sz w:val="22"/>
          <w:szCs w:val="22"/>
        </w:rPr>
        <w:t xml:space="preserve">. </w:t>
      </w:r>
    </w:p>
    <w:p w:rsidR="002F2984" w:rsidRPr="002357A9" w:rsidRDefault="002F2984" w:rsidP="002F2984">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2F2984" w:rsidRPr="007C2EFE"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C2EFE">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May</w:t>
      </w:r>
      <w:r w:rsidRPr="007C2EFE">
        <w:rPr>
          <w:rFonts w:ascii="Palatino Linotype" w:eastAsia="Palatino Linotype" w:hAnsi="Palatino Linotype" w:cs="Palatino Linotype"/>
          <w:sz w:val="22"/>
          <w:szCs w:val="22"/>
        </w:rPr>
        <w:t xml:space="preserve"> 2021, the selected BSE sectoral indices, referred to in </w:t>
      </w:r>
      <w:r w:rsidRPr="004776F0">
        <w:rPr>
          <w:rFonts w:ascii="Palatino Linotype" w:eastAsia="Palatino Linotype" w:hAnsi="Palatino Linotype" w:cs="Palatino Linotype"/>
          <w:b/>
          <w:bCs/>
          <w:sz w:val="22"/>
          <w:szCs w:val="22"/>
        </w:rPr>
        <w:t>Figure 4</w:t>
      </w:r>
      <w:r w:rsidRPr="007C2EFE">
        <w:rPr>
          <w:rFonts w:ascii="Palatino Linotype" w:eastAsia="Palatino Linotype" w:hAnsi="Palatino Linotype" w:cs="Palatino Linotype"/>
          <w:sz w:val="22"/>
          <w:szCs w:val="22"/>
        </w:rPr>
        <w:t xml:space="preserve">, witnessed mixed trends.  Amongst these, S&amp;P </w:t>
      </w:r>
      <w:r>
        <w:rPr>
          <w:rFonts w:ascii="Palatino Linotype" w:eastAsia="Palatino Linotype" w:hAnsi="Palatino Linotype" w:cs="Palatino Linotype"/>
          <w:sz w:val="22"/>
          <w:szCs w:val="22"/>
        </w:rPr>
        <w:t>P</w:t>
      </w:r>
      <w:r w:rsidRPr="007C2EFE">
        <w:rPr>
          <w:rFonts w:ascii="Palatino Linotype" w:eastAsia="Palatino Linotype" w:hAnsi="Palatino Linotype" w:cs="Palatino Linotype"/>
          <w:sz w:val="22"/>
          <w:szCs w:val="22"/>
        </w:rPr>
        <w:t>ower</w:t>
      </w:r>
      <w:r>
        <w:rPr>
          <w:rFonts w:ascii="Palatino Linotype" w:eastAsia="Palatino Linotype" w:hAnsi="Palatino Linotype" w:cs="Palatino Linotype"/>
          <w:sz w:val="22"/>
          <w:szCs w:val="22"/>
        </w:rPr>
        <w:t xml:space="preserve"> in</w:t>
      </w:r>
      <w:r w:rsidRPr="007C2EFE">
        <w:rPr>
          <w:rFonts w:ascii="Palatino Linotype" w:eastAsia="Palatino Linotype" w:hAnsi="Palatino Linotype" w:cs="Palatino Linotype"/>
          <w:sz w:val="22"/>
          <w:szCs w:val="22"/>
        </w:rPr>
        <w:t xml:space="preserve">creased by </w:t>
      </w:r>
      <w:r>
        <w:rPr>
          <w:rFonts w:ascii="Palatino Linotype" w:eastAsia="Palatino Linotype" w:hAnsi="Palatino Linotype" w:cs="Palatino Linotype"/>
          <w:sz w:val="22"/>
          <w:szCs w:val="22"/>
        </w:rPr>
        <w:t>13.5</w:t>
      </w:r>
      <w:r w:rsidRPr="007C2EFE">
        <w:rPr>
          <w:rFonts w:ascii="Palatino Linotype" w:eastAsia="Palatino Linotype" w:hAnsi="Palatino Linotype" w:cs="Palatino Linotype"/>
          <w:sz w:val="22"/>
          <w:szCs w:val="22"/>
        </w:rPr>
        <w:t xml:space="preserve"> per cent, followed by S&amp;P BSE PSU (</w:t>
      </w:r>
      <w:r>
        <w:rPr>
          <w:rFonts w:ascii="Palatino Linotype" w:eastAsia="Palatino Linotype" w:hAnsi="Palatino Linotype" w:cs="Palatino Linotype"/>
          <w:sz w:val="22"/>
          <w:szCs w:val="22"/>
        </w:rPr>
        <w:t>13.0</w:t>
      </w:r>
      <w:r w:rsidRPr="007C2EFE">
        <w:rPr>
          <w:rFonts w:ascii="Palatino Linotype" w:eastAsia="Palatino Linotype" w:hAnsi="Palatino Linotype" w:cs="Palatino Linotype"/>
          <w:sz w:val="22"/>
          <w:szCs w:val="22"/>
        </w:rPr>
        <w:t xml:space="preserve"> per cent), S&amp;P BSE Consumer Goods </w:t>
      </w:r>
      <w:r>
        <w:rPr>
          <w:rFonts w:ascii="Palatino Linotype" w:eastAsia="Palatino Linotype" w:hAnsi="Palatino Linotype" w:cs="Palatino Linotype"/>
          <w:sz w:val="22"/>
          <w:szCs w:val="22"/>
        </w:rPr>
        <w:t>(11.1</w:t>
      </w:r>
      <w:r w:rsidRPr="007C2EFE">
        <w:rPr>
          <w:rFonts w:ascii="Palatino Linotype" w:eastAsia="Palatino Linotype" w:hAnsi="Palatino Linotype" w:cs="Palatino Linotype"/>
          <w:sz w:val="22"/>
          <w:szCs w:val="22"/>
        </w:rPr>
        <w:t xml:space="preserve"> per cent), S&amp;P BSE Oil (</w:t>
      </w:r>
      <w:r>
        <w:rPr>
          <w:rFonts w:ascii="Palatino Linotype" w:eastAsia="Palatino Linotype" w:hAnsi="Palatino Linotype" w:cs="Palatino Linotype"/>
          <w:sz w:val="22"/>
          <w:szCs w:val="22"/>
        </w:rPr>
        <w:t>9.8</w:t>
      </w:r>
      <w:r w:rsidRPr="007C2EFE">
        <w:rPr>
          <w:rFonts w:ascii="Palatino Linotype" w:eastAsia="Palatino Linotype" w:hAnsi="Palatino Linotype" w:cs="Palatino Linotype"/>
          <w:sz w:val="22"/>
          <w:szCs w:val="22"/>
        </w:rPr>
        <w:t xml:space="preserve"> per cent), S&amp;P BSE </w:t>
      </w:r>
      <w:r>
        <w:rPr>
          <w:rFonts w:ascii="Palatino Linotype" w:eastAsia="Palatino Linotype" w:hAnsi="Palatino Linotype" w:cs="Palatino Linotype"/>
          <w:sz w:val="22"/>
          <w:szCs w:val="22"/>
        </w:rPr>
        <w:t>Auto</w:t>
      </w:r>
      <w:r w:rsidRPr="007C2EFE">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(8.6</w:t>
      </w:r>
      <w:r w:rsidRPr="007C2EFE">
        <w:rPr>
          <w:rFonts w:ascii="Palatino Linotype" w:eastAsia="Palatino Linotype" w:hAnsi="Palatino Linotype" w:cs="Palatino Linotype"/>
          <w:sz w:val="22"/>
          <w:szCs w:val="22"/>
        </w:rPr>
        <w:t xml:space="preserve"> per cent) and S&amp;P BSE</w:t>
      </w:r>
      <w:r>
        <w:rPr>
          <w:rFonts w:ascii="Palatino Linotype" w:eastAsia="Palatino Linotype" w:hAnsi="Palatino Linotype" w:cs="Palatino Linotype"/>
          <w:sz w:val="22"/>
          <w:szCs w:val="22"/>
        </w:rPr>
        <w:t xml:space="preserve"> Realty</w:t>
      </w:r>
      <w:r w:rsidRPr="007C2EFE">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8</w:t>
      </w:r>
      <w:r w:rsidRPr="007C2EFE">
        <w:rPr>
          <w:rFonts w:ascii="Palatino Linotype" w:eastAsia="Palatino Linotype" w:hAnsi="Palatino Linotype" w:cs="Palatino Linotype"/>
          <w:sz w:val="22"/>
          <w:szCs w:val="22"/>
        </w:rPr>
        <w:t>.6 per cent)</w:t>
      </w:r>
      <w:r>
        <w:rPr>
          <w:rFonts w:ascii="Palatino Linotype" w:eastAsia="Palatino Linotype" w:hAnsi="Palatino Linotype" w:cs="Palatino Linotype"/>
          <w:sz w:val="22"/>
          <w:szCs w:val="22"/>
        </w:rPr>
        <w:t xml:space="preserve">, </w:t>
      </w:r>
      <w:r w:rsidRPr="007C2EFE">
        <w:rPr>
          <w:rFonts w:ascii="Palatino Linotype" w:eastAsia="Palatino Linotype" w:hAnsi="Palatino Linotype" w:cs="Palatino Linotype"/>
          <w:sz w:val="22"/>
          <w:szCs w:val="22"/>
        </w:rPr>
        <w:t>BSE</w:t>
      </w:r>
      <w:r>
        <w:rPr>
          <w:rFonts w:ascii="Palatino Linotype" w:eastAsia="Palatino Linotype" w:hAnsi="Palatino Linotype" w:cs="Palatino Linotype"/>
          <w:sz w:val="22"/>
          <w:szCs w:val="22"/>
        </w:rPr>
        <w:t xml:space="preserve"> Bank</w:t>
      </w:r>
      <w:r w:rsidRPr="007C2EFE">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(8.1</w:t>
      </w:r>
      <w:r w:rsidRPr="007C2EFE">
        <w:rPr>
          <w:rFonts w:ascii="Palatino Linotype" w:eastAsia="Palatino Linotype" w:hAnsi="Palatino Linotype" w:cs="Palatino Linotype"/>
          <w:sz w:val="22"/>
          <w:szCs w:val="22"/>
        </w:rPr>
        <w:t xml:space="preserve"> per cent</w:t>
      </w:r>
      <w:r>
        <w:rPr>
          <w:rFonts w:ascii="Palatino Linotype" w:eastAsia="Palatino Linotype" w:hAnsi="Palatino Linotype" w:cs="Palatino Linotype"/>
          <w:sz w:val="22"/>
          <w:szCs w:val="22"/>
        </w:rPr>
        <w:t>)</w:t>
      </w:r>
      <w:r w:rsidRPr="007C2EFE">
        <w:rPr>
          <w:rFonts w:ascii="Palatino Linotype" w:eastAsia="Palatino Linotype" w:hAnsi="Palatino Linotype" w:cs="Palatino Linotype"/>
          <w:sz w:val="22"/>
          <w:szCs w:val="22"/>
        </w:rPr>
        <w:t xml:space="preserve">, S&amp;P BSE </w:t>
      </w:r>
      <w:r>
        <w:rPr>
          <w:rFonts w:ascii="Palatino Linotype" w:eastAsia="Palatino Linotype" w:hAnsi="Palatino Linotype" w:cs="Palatino Linotype"/>
          <w:sz w:val="22"/>
          <w:szCs w:val="22"/>
        </w:rPr>
        <w:t xml:space="preserve">Metal </w:t>
      </w:r>
      <w:r w:rsidRPr="007C2EFE">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5.9</w:t>
      </w:r>
      <w:r w:rsidRPr="007C2EFE">
        <w:rPr>
          <w:rFonts w:ascii="Palatino Linotype" w:eastAsia="Palatino Linotype" w:hAnsi="Palatino Linotype" w:cs="Palatino Linotype"/>
          <w:sz w:val="22"/>
          <w:szCs w:val="22"/>
        </w:rPr>
        <w:t xml:space="preserve"> per cent), S&amp;P BSE </w:t>
      </w:r>
      <w:r>
        <w:rPr>
          <w:rFonts w:ascii="Palatino Linotype" w:eastAsia="Palatino Linotype" w:hAnsi="Palatino Linotype" w:cs="Palatino Linotype"/>
          <w:sz w:val="22"/>
          <w:szCs w:val="22"/>
        </w:rPr>
        <w:t>Teck</w:t>
      </w:r>
      <w:r w:rsidRPr="007C2EFE">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3.9</w:t>
      </w:r>
      <w:r w:rsidRPr="007C2EFE">
        <w:rPr>
          <w:rFonts w:ascii="Palatino Linotype" w:eastAsia="Palatino Linotype" w:hAnsi="Palatino Linotype" w:cs="Palatino Linotype"/>
          <w:sz w:val="22"/>
          <w:szCs w:val="22"/>
        </w:rPr>
        <w:t xml:space="preserve"> per cent), and S&amp;P BSE </w:t>
      </w:r>
      <w:r>
        <w:rPr>
          <w:rFonts w:ascii="Palatino Linotype" w:eastAsia="Palatino Linotype" w:hAnsi="Palatino Linotype" w:cs="Palatino Linotype"/>
          <w:sz w:val="22"/>
          <w:szCs w:val="22"/>
        </w:rPr>
        <w:t>Consumer Durables</w:t>
      </w:r>
      <w:r w:rsidRPr="007C2EFE">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3.3</w:t>
      </w:r>
      <w:r w:rsidRPr="007C2EFE">
        <w:rPr>
          <w:rFonts w:ascii="Palatino Linotype" w:eastAsia="Palatino Linotype" w:hAnsi="Palatino Linotype" w:cs="Palatino Linotype"/>
          <w:sz w:val="22"/>
          <w:szCs w:val="22"/>
        </w:rPr>
        <w:t xml:space="preserve"> per cent) over the previous month. The average daily volatility and monthly returns for these select BSE indices for </w:t>
      </w:r>
      <w:r>
        <w:rPr>
          <w:rFonts w:ascii="Palatino Linotype" w:eastAsia="Palatino Linotype" w:hAnsi="Palatino Linotype" w:cs="Palatino Linotype"/>
          <w:sz w:val="22"/>
          <w:szCs w:val="22"/>
        </w:rPr>
        <w:t>May</w:t>
      </w:r>
      <w:r w:rsidRPr="007C2EFE">
        <w:rPr>
          <w:rFonts w:ascii="Palatino Linotype" w:eastAsia="Palatino Linotype" w:hAnsi="Palatino Linotype" w:cs="Palatino Linotype"/>
          <w:sz w:val="22"/>
          <w:szCs w:val="22"/>
        </w:rPr>
        <w:t xml:space="preserve"> 2021 are illustrated in </w:t>
      </w:r>
      <w:r w:rsidRPr="004776F0">
        <w:rPr>
          <w:rFonts w:ascii="Palatino Linotype" w:eastAsia="Palatino Linotype" w:hAnsi="Palatino Linotype" w:cs="Palatino Linotype"/>
          <w:b/>
          <w:bCs/>
          <w:sz w:val="22"/>
          <w:szCs w:val="22"/>
        </w:rPr>
        <w:t>Figure 4</w:t>
      </w:r>
      <w:r w:rsidRPr="007C2EFE">
        <w:rPr>
          <w:rFonts w:ascii="Palatino Linotype" w:eastAsia="Palatino Linotype" w:hAnsi="Palatino Linotype" w:cs="Palatino Linotype"/>
          <w:sz w:val="22"/>
          <w:szCs w:val="22"/>
        </w:rPr>
        <w:t>.</w:t>
      </w:r>
    </w:p>
    <w:p w:rsidR="002F2984" w:rsidRPr="002357A9" w:rsidRDefault="002F2984" w:rsidP="002F2984">
      <w:pPr>
        <w:spacing w:line="276" w:lineRule="auto"/>
        <w:jc w:val="both"/>
        <w:rPr>
          <w:rFonts w:ascii="Palatino Linotype" w:eastAsia="Palatino Linotype" w:hAnsi="Palatino Linotype" w:cs="Palatino Linotype"/>
          <w:b/>
          <w:sz w:val="22"/>
          <w:szCs w:val="22"/>
        </w:rPr>
      </w:pPr>
    </w:p>
    <w:p w:rsidR="002F2984" w:rsidRPr="002357A9" w:rsidRDefault="002F2984" w:rsidP="002F2984">
      <w:pPr>
        <w:spacing w:line="276" w:lineRule="auto"/>
        <w:jc w:val="center"/>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 xml:space="preserve">Figure 4: </w:t>
      </w:r>
      <w:r>
        <w:rPr>
          <w:rFonts w:ascii="Palatino Linotype" w:eastAsia="Palatino Linotype" w:hAnsi="Palatino Linotype" w:cs="Palatino Linotype"/>
          <w:b/>
          <w:sz w:val="22"/>
          <w:szCs w:val="22"/>
        </w:rPr>
        <w:t>Trends</w:t>
      </w:r>
      <w:r w:rsidRPr="002357A9">
        <w:rPr>
          <w:rFonts w:ascii="Palatino Linotype" w:eastAsia="Palatino Linotype" w:hAnsi="Palatino Linotype" w:cs="Palatino Linotype"/>
          <w:b/>
          <w:sz w:val="22"/>
          <w:szCs w:val="22"/>
        </w:rPr>
        <w:t xml:space="preserve"> of BSE Sectoral Indices during </w:t>
      </w:r>
      <w:r>
        <w:rPr>
          <w:rFonts w:ascii="Palatino Linotype" w:eastAsia="Palatino Linotype" w:hAnsi="Palatino Linotype" w:cs="Palatino Linotype"/>
          <w:b/>
          <w:sz w:val="22"/>
          <w:szCs w:val="22"/>
        </w:rPr>
        <w:t xml:space="preserve">May </w:t>
      </w:r>
      <w:r w:rsidRPr="002357A9">
        <w:rPr>
          <w:rFonts w:ascii="Palatino Linotype" w:eastAsia="Palatino Linotype" w:hAnsi="Palatino Linotype" w:cs="Palatino Linotype"/>
          <w:b/>
          <w:sz w:val="22"/>
          <w:szCs w:val="22"/>
        </w:rPr>
        <w:t>2021 (per cent)</w:t>
      </w:r>
    </w:p>
    <w:p w:rsidR="002F2984" w:rsidRPr="002357A9" w:rsidRDefault="002F2984" w:rsidP="002F2984">
      <w:pPr>
        <w:spacing w:line="276" w:lineRule="auto"/>
        <w:jc w:val="center"/>
        <w:rPr>
          <w:rFonts w:ascii="Palatino Linotype" w:eastAsia="Palatino Linotype" w:hAnsi="Palatino Linotype" w:cs="Palatino Linotype"/>
          <w:b/>
          <w:color w:val="2E74B5"/>
          <w:sz w:val="22"/>
          <w:szCs w:val="22"/>
          <w:highlight w:val="yellow"/>
        </w:rPr>
      </w:pPr>
      <w:r w:rsidRPr="009316A0">
        <w:rPr>
          <w:noProof/>
          <w:lang w:val="en-IN" w:eastAsia="en-IN" w:bidi="hi-IN"/>
        </w:rPr>
        <w:drawing>
          <wp:inline distT="0" distB="0" distL="0" distR="0">
            <wp:extent cx="4568190" cy="2739390"/>
            <wp:effectExtent l="0" t="0" r="3810" b="381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2984" w:rsidRPr="00C41524" w:rsidRDefault="002F2984" w:rsidP="002F2984">
      <w:pPr>
        <w:spacing w:line="276" w:lineRule="auto"/>
        <w:ind w:left="1276"/>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r w:rsidRPr="00C41524">
        <w:rPr>
          <w:rFonts w:ascii="Palatino Linotype" w:eastAsia="Palatino Linotype" w:hAnsi="Palatino Linotype" w:cs="Palatino Linotype"/>
          <w:b/>
          <w:sz w:val="18"/>
          <w:szCs w:val="18"/>
        </w:rPr>
        <w:t>Source: BSE</w:t>
      </w:r>
    </w:p>
    <w:p w:rsidR="002F2984" w:rsidRPr="002357A9" w:rsidRDefault="002F2984" w:rsidP="002F2984">
      <w:pPr>
        <w:pBdr>
          <w:top w:val="nil"/>
          <w:left w:val="nil"/>
          <w:bottom w:val="nil"/>
          <w:right w:val="nil"/>
          <w:between w:val="nil"/>
        </w:pBdr>
        <w:spacing w:line="276" w:lineRule="auto"/>
        <w:ind w:left="709" w:hanging="720"/>
        <w:rPr>
          <w:rFonts w:ascii="Palatino Linotype" w:eastAsia="Palatino Linotype" w:hAnsi="Palatino Linotype" w:cs="Palatino Linotype"/>
          <w:b/>
          <w:color w:val="2E74B5"/>
          <w:sz w:val="22"/>
          <w:szCs w:val="22"/>
          <w:highlight w:val="yellow"/>
        </w:rPr>
      </w:pPr>
    </w:p>
    <w:p w:rsidR="002F2984" w:rsidRPr="00DF1383"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C2EFE">
        <w:rPr>
          <w:rFonts w:ascii="Palatino Linotype" w:eastAsia="Palatino Linotype" w:hAnsi="Palatino Linotype" w:cs="Palatino Linotype"/>
          <w:sz w:val="22"/>
          <w:szCs w:val="22"/>
        </w:rPr>
        <w:t xml:space="preserve">Similarly, </w:t>
      </w:r>
      <w:r w:rsidR="00926034">
        <w:rPr>
          <w:rFonts w:ascii="Palatino Linotype" w:eastAsia="Palatino Linotype" w:hAnsi="Palatino Linotype" w:cs="Palatino Linotype"/>
          <w:sz w:val="22"/>
          <w:szCs w:val="22"/>
        </w:rPr>
        <w:t>d</w:t>
      </w:r>
      <w:r>
        <w:rPr>
          <w:rFonts w:ascii="Palatino Linotype" w:eastAsia="Palatino Linotype" w:hAnsi="Palatino Linotype" w:cs="Palatino Linotype"/>
          <w:sz w:val="22"/>
          <w:szCs w:val="22"/>
        </w:rPr>
        <w:t xml:space="preserve">uring May 2021, </w:t>
      </w:r>
      <w:r w:rsidRPr="007C2EFE">
        <w:rPr>
          <w:rFonts w:ascii="Palatino Linotype" w:eastAsia="Palatino Linotype" w:hAnsi="Palatino Linotype" w:cs="Palatino Linotype"/>
          <w:sz w:val="22"/>
          <w:szCs w:val="22"/>
        </w:rPr>
        <w:t>the select sectoral indices of the NSE,</w:t>
      </w:r>
      <w:r>
        <w:rPr>
          <w:rFonts w:ascii="Palatino Linotype" w:eastAsia="Palatino Linotype" w:hAnsi="Palatino Linotype" w:cs="Palatino Linotype"/>
          <w:sz w:val="22"/>
          <w:szCs w:val="22"/>
        </w:rPr>
        <w:t xml:space="preserve"> </w:t>
      </w:r>
      <w:r w:rsidRPr="007C2EFE">
        <w:rPr>
          <w:rFonts w:ascii="Palatino Linotype" w:eastAsia="Palatino Linotype" w:hAnsi="Palatino Linotype" w:cs="Palatino Linotype"/>
          <w:sz w:val="22"/>
          <w:szCs w:val="22"/>
        </w:rPr>
        <w:t xml:space="preserve">Nifty </w:t>
      </w:r>
      <w:r w:rsidRPr="00EC47BB">
        <w:rPr>
          <w:rFonts w:ascii="Palatino Linotype" w:eastAsia="Palatino Linotype" w:hAnsi="Palatino Linotype" w:cs="Palatino Linotype"/>
          <w:sz w:val="22"/>
          <w:szCs w:val="22"/>
        </w:rPr>
        <w:t xml:space="preserve">PSU increased by 18.1 per cent, followed by Nifty PSE (10.7 per cent), Nifty Energy (10.4 per cent), Nifty Realty (8.6 </w:t>
      </w:r>
      <w:r w:rsidRPr="00EC47BB">
        <w:rPr>
          <w:rFonts w:ascii="Palatino Linotype" w:eastAsia="Palatino Linotype" w:hAnsi="Palatino Linotype" w:cs="Palatino Linotype"/>
          <w:sz w:val="22"/>
          <w:szCs w:val="22"/>
        </w:rPr>
        <w:lastRenderedPageBreak/>
        <w:t>per cent), Nifty Bank (8.4 per cent), Nifty Infrastructure (6.8 per cent), Nifty Services (6.0 per cent), Nifty IT (5.7 per cent), Nifty FMCG (4.8 per cent) and Nifty Pharma (4.3 per cent). The average daily volatility and monthly returns of these select NSE i</w:t>
      </w:r>
      <w:r w:rsidRPr="00DF1383">
        <w:rPr>
          <w:rFonts w:ascii="Palatino Linotype" w:eastAsia="Palatino Linotype" w:hAnsi="Palatino Linotype" w:cs="Palatino Linotype"/>
          <w:sz w:val="22"/>
          <w:szCs w:val="22"/>
        </w:rPr>
        <w:t xml:space="preserve">ndices for May 2021 are illustrated in </w:t>
      </w:r>
      <w:r w:rsidRPr="004776F0">
        <w:rPr>
          <w:rFonts w:ascii="Palatino Linotype" w:eastAsia="Palatino Linotype" w:hAnsi="Palatino Linotype" w:cs="Palatino Linotype"/>
          <w:b/>
          <w:bCs/>
          <w:sz w:val="22"/>
          <w:szCs w:val="22"/>
        </w:rPr>
        <w:t>Figure 5</w:t>
      </w:r>
      <w:r w:rsidRPr="00DF1383">
        <w:rPr>
          <w:rFonts w:ascii="Palatino Linotype" w:eastAsia="Palatino Linotype" w:hAnsi="Palatino Linotype" w:cs="Palatino Linotype"/>
          <w:sz w:val="22"/>
          <w:szCs w:val="22"/>
        </w:rPr>
        <w:t>.</w:t>
      </w:r>
    </w:p>
    <w:p w:rsidR="002F2984" w:rsidRPr="002357A9" w:rsidRDefault="002F2984" w:rsidP="002F2984">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2F2984" w:rsidRPr="002357A9" w:rsidRDefault="002F2984" w:rsidP="002F2984">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 xml:space="preserve">Figure 5: </w:t>
      </w:r>
      <w:r>
        <w:rPr>
          <w:rFonts w:ascii="Palatino Linotype" w:eastAsia="Palatino Linotype" w:hAnsi="Palatino Linotype" w:cs="Palatino Linotype"/>
          <w:b/>
          <w:sz w:val="22"/>
          <w:szCs w:val="22"/>
        </w:rPr>
        <w:t>Trends</w:t>
      </w:r>
      <w:r w:rsidRPr="002357A9">
        <w:rPr>
          <w:rFonts w:ascii="Palatino Linotype" w:eastAsia="Palatino Linotype" w:hAnsi="Palatino Linotype" w:cs="Palatino Linotype"/>
          <w:b/>
          <w:sz w:val="22"/>
          <w:szCs w:val="22"/>
        </w:rPr>
        <w:t xml:space="preserve"> of NSE Sectoral Indices during </w:t>
      </w:r>
      <w:r>
        <w:rPr>
          <w:rFonts w:ascii="Palatino Linotype" w:eastAsia="Palatino Linotype" w:hAnsi="Palatino Linotype" w:cs="Palatino Linotype"/>
          <w:b/>
          <w:sz w:val="22"/>
          <w:szCs w:val="22"/>
        </w:rPr>
        <w:t>May</w:t>
      </w:r>
      <w:r w:rsidRPr="002357A9">
        <w:rPr>
          <w:rFonts w:ascii="Palatino Linotype" w:eastAsia="Palatino Linotype" w:hAnsi="Palatino Linotype" w:cs="Palatino Linotype"/>
          <w:b/>
          <w:sz w:val="22"/>
          <w:szCs w:val="22"/>
        </w:rPr>
        <w:t xml:space="preserve"> 2021 (per cent)</w:t>
      </w:r>
    </w:p>
    <w:p w:rsidR="002F2984" w:rsidRPr="002357A9" w:rsidRDefault="002F2984" w:rsidP="002F2984">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EC47BB">
        <w:rPr>
          <w:noProof/>
          <w:lang w:val="en-IN" w:eastAsia="en-IN" w:bidi="hi-IN"/>
        </w:rPr>
        <w:drawing>
          <wp:inline distT="0" distB="0" distL="0" distR="0">
            <wp:extent cx="4568190" cy="2739390"/>
            <wp:effectExtent l="0" t="0" r="3810" b="381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F2984" w:rsidRPr="00C41524" w:rsidRDefault="002F2984" w:rsidP="002F2984">
      <w:pPr>
        <w:spacing w:line="276" w:lineRule="auto"/>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r w:rsidRPr="00C41524">
        <w:rPr>
          <w:rFonts w:ascii="Palatino Linotype" w:eastAsia="Palatino Linotype" w:hAnsi="Palatino Linotype" w:cs="Palatino Linotype"/>
          <w:b/>
          <w:sz w:val="18"/>
          <w:szCs w:val="18"/>
        </w:rPr>
        <w:t xml:space="preserve">Source: </w:t>
      </w:r>
      <w:r>
        <w:rPr>
          <w:rFonts w:ascii="Palatino Linotype" w:eastAsia="Palatino Linotype" w:hAnsi="Palatino Linotype" w:cs="Palatino Linotype"/>
          <w:b/>
          <w:sz w:val="18"/>
          <w:szCs w:val="18"/>
        </w:rPr>
        <w:t>N</w:t>
      </w:r>
      <w:r w:rsidRPr="00C41524">
        <w:rPr>
          <w:rFonts w:ascii="Palatino Linotype" w:eastAsia="Palatino Linotype" w:hAnsi="Palatino Linotype" w:cs="Palatino Linotype"/>
          <w:b/>
          <w:sz w:val="18"/>
          <w:szCs w:val="18"/>
        </w:rPr>
        <w:t>SE</w:t>
      </w:r>
    </w:p>
    <w:p w:rsidR="002F2984" w:rsidRPr="002357A9" w:rsidRDefault="002F2984" w:rsidP="002F2984">
      <w:pPr>
        <w:pBdr>
          <w:top w:val="nil"/>
          <w:left w:val="nil"/>
          <w:bottom w:val="nil"/>
          <w:right w:val="nil"/>
          <w:between w:val="nil"/>
        </w:pBdr>
        <w:spacing w:line="276" w:lineRule="auto"/>
        <w:rPr>
          <w:rFonts w:ascii="Palatino Linotype" w:eastAsia="Palatino Linotype" w:hAnsi="Palatino Linotype" w:cs="Palatino Linotype"/>
          <w:b/>
          <w:sz w:val="22"/>
          <w:szCs w:val="22"/>
        </w:rPr>
      </w:pPr>
    </w:p>
    <w:p w:rsidR="002F2984" w:rsidRPr="002357A9" w:rsidRDefault="002F2984" w:rsidP="002F2984">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 xml:space="preserve">Trends in Depository Accounts </w:t>
      </w:r>
    </w:p>
    <w:p w:rsidR="002F2984"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357A9">
        <w:rPr>
          <w:rFonts w:ascii="Palatino Linotype" w:eastAsia="Palatino Linotype" w:hAnsi="Palatino Linotype" w:cs="Palatino Linotype"/>
          <w:sz w:val="22"/>
          <w:szCs w:val="22"/>
        </w:rPr>
        <w:t xml:space="preserve">As at the end of </w:t>
      </w:r>
      <w:r>
        <w:rPr>
          <w:rFonts w:ascii="Palatino Linotype" w:eastAsia="Palatino Linotype" w:hAnsi="Palatino Linotype" w:cs="Palatino Linotype"/>
          <w:sz w:val="22"/>
          <w:szCs w:val="22"/>
        </w:rPr>
        <w:t>May</w:t>
      </w:r>
      <w:r w:rsidRPr="002357A9">
        <w:rPr>
          <w:rFonts w:ascii="Palatino Linotype" w:eastAsia="Palatino Linotype" w:hAnsi="Palatino Linotype" w:cs="Palatino Linotype"/>
          <w:sz w:val="22"/>
          <w:szCs w:val="22"/>
        </w:rPr>
        <w:t xml:space="preserve"> 2021, there were </w:t>
      </w:r>
      <w:r>
        <w:rPr>
          <w:rFonts w:ascii="Palatino Linotype" w:eastAsia="Palatino Linotype" w:hAnsi="Palatino Linotype" w:cs="Palatino Linotype"/>
          <w:sz w:val="22"/>
          <w:szCs w:val="22"/>
        </w:rPr>
        <w:t xml:space="preserve">222 </w:t>
      </w:r>
      <w:r w:rsidRPr="002357A9">
        <w:rPr>
          <w:rFonts w:ascii="Palatino Linotype" w:eastAsia="Palatino Linotype" w:hAnsi="Palatino Linotype" w:cs="Palatino Linotype"/>
          <w:sz w:val="22"/>
          <w:szCs w:val="22"/>
        </w:rPr>
        <w:t xml:space="preserve">lakh demat accounts at NSDL and </w:t>
      </w:r>
      <w:r>
        <w:rPr>
          <w:rFonts w:ascii="Palatino Linotype" w:eastAsia="Palatino Linotype" w:hAnsi="Palatino Linotype" w:cs="Palatino Linotype"/>
          <w:sz w:val="22"/>
          <w:szCs w:val="22"/>
        </w:rPr>
        <w:t xml:space="preserve">375 </w:t>
      </w:r>
      <w:r w:rsidRPr="002357A9">
        <w:rPr>
          <w:rFonts w:ascii="Palatino Linotype" w:eastAsia="Palatino Linotype" w:hAnsi="Palatino Linotype" w:cs="Palatino Linotype"/>
          <w:sz w:val="22"/>
          <w:szCs w:val="22"/>
        </w:rPr>
        <w:t xml:space="preserve">lakh demat accounts at CDSL. Further, till the end of </w:t>
      </w:r>
      <w:r>
        <w:rPr>
          <w:rFonts w:ascii="Palatino Linotype" w:eastAsia="Palatino Linotype" w:hAnsi="Palatino Linotype" w:cs="Palatino Linotype"/>
          <w:sz w:val="22"/>
          <w:szCs w:val="22"/>
        </w:rPr>
        <w:t>May 2021, 5,697</w:t>
      </w:r>
      <w:r w:rsidRPr="002357A9">
        <w:rPr>
          <w:rFonts w:ascii="Palatino Linotype" w:eastAsia="Palatino Linotype" w:hAnsi="Palatino Linotype" w:cs="Palatino Linotype"/>
          <w:sz w:val="22"/>
          <w:szCs w:val="22"/>
        </w:rPr>
        <w:t xml:space="preserve"> listed companies we</w:t>
      </w:r>
      <w:r>
        <w:rPr>
          <w:rFonts w:ascii="Palatino Linotype" w:eastAsia="Palatino Linotype" w:hAnsi="Palatino Linotype" w:cs="Palatino Linotype"/>
          <w:sz w:val="22"/>
          <w:szCs w:val="22"/>
        </w:rPr>
        <w:t>re signed up with NSDL and 5,771</w:t>
      </w:r>
      <w:r w:rsidRPr="002357A9">
        <w:rPr>
          <w:rFonts w:ascii="Palatino Linotype" w:eastAsia="Palatino Linotype" w:hAnsi="Palatino Linotype" w:cs="Palatino Linotype"/>
          <w:sz w:val="22"/>
          <w:szCs w:val="22"/>
        </w:rPr>
        <w:t xml:space="preserve"> listed companies were signed up with CDSL to make their equity holdings available in dematerialised form.</w:t>
      </w:r>
    </w:p>
    <w:p w:rsidR="002F2984" w:rsidRDefault="002F2984" w:rsidP="002F298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2F2984" w:rsidRDefault="002F2984" w:rsidP="002F298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2F2984" w:rsidRDefault="002F2984" w:rsidP="002F298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Pr="002357A9" w:rsidRDefault="002F2984" w:rsidP="002F2984">
      <w:pPr>
        <w:spacing w:line="276" w:lineRule="auto"/>
        <w:rPr>
          <w:rFonts w:ascii="Palatino Linotype" w:eastAsia="Palatino Linotype" w:hAnsi="Palatino Linotype" w:cs="Palatino Linotype"/>
          <w:b/>
          <w:color w:val="2E74B5"/>
          <w:sz w:val="22"/>
          <w:szCs w:val="22"/>
          <w:highlight w:val="yellow"/>
        </w:rPr>
      </w:pPr>
    </w:p>
    <w:p w:rsidR="002F2984" w:rsidRPr="002357A9" w:rsidRDefault="002F2984" w:rsidP="002F2984">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lastRenderedPageBreak/>
        <w:t>Trends in Derivatives Segment</w:t>
      </w:r>
      <w:r w:rsidRPr="002357A9">
        <w:rPr>
          <w:rFonts w:ascii="Palatino Linotype" w:eastAsia="Palatino Linotype" w:hAnsi="Palatino Linotype" w:cs="Palatino Linotype"/>
          <w:b/>
          <w:sz w:val="22"/>
          <w:szCs w:val="22"/>
        </w:rPr>
        <w:tab/>
      </w:r>
    </w:p>
    <w:p w:rsidR="002F2984" w:rsidRPr="002357A9" w:rsidRDefault="002F2984" w:rsidP="002F2984">
      <w:pPr>
        <w:widowControl w:val="0"/>
        <w:spacing w:line="276" w:lineRule="auto"/>
        <w:jc w:val="both"/>
        <w:rPr>
          <w:rFonts w:ascii="Palatino Linotype" w:eastAsia="Palatino Linotype" w:hAnsi="Palatino Linotype" w:cs="Palatino Linotype"/>
          <w:sz w:val="22"/>
          <w:szCs w:val="22"/>
        </w:rPr>
      </w:pPr>
    </w:p>
    <w:p w:rsidR="002F2984" w:rsidRPr="002357A9" w:rsidRDefault="002F2984" w:rsidP="002F2984">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Equity Derivatives</w:t>
      </w:r>
    </w:p>
    <w:p w:rsidR="002F2984" w:rsidRDefault="002F2984" w:rsidP="002F2984">
      <w:pPr>
        <w:tabs>
          <w:tab w:val="left" w:pos="3135"/>
        </w:tabs>
        <w:spacing w:line="276" w:lineRule="auto"/>
      </w:pPr>
      <w:r w:rsidRPr="002357A9">
        <w:rPr>
          <w:rFonts w:ascii="Palatino Linotype" w:eastAsia="Palatino Linotype" w:hAnsi="Palatino Linotype" w:cs="Palatino Linotype"/>
          <w:b/>
          <w:sz w:val="22"/>
          <w:szCs w:val="22"/>
        </w:rPr>
        <w:t>Table 3: Trends in Equity Derivatives Market</w:t>
      </w:r>
      <w:r>
        <w:fldChar w:fldCharType="begin"/>
      </w:r>
      <w:r>
        <w:instrText xml:space="preserve"> LINK Excel.Sheet.12 "C:\\Users\\2015\\Desktop\\Bulletin\\CMR May 2021 (Autosaved).xlsx" E4!R2C2:R43C8 \a \f 4 \h </w:instrText>
      </w:r>
      <w:r>
        <w:fldChar w:fldCharType="separate"/>
      </w:r>
    </w:p>
    <w:tbl>
      <w:tblPr>
        <w:tblW w:w="9800" w:type="dxa"/>
        <w:tblLook w:val="04A0" w:firstRow="1" w:lastRow="0" w:firstColumn="1" w:lastColumn="0" w:noHBand="0" w:noVBand="1"/>
      </w:tblPr>
      <w:tblGrid>
        <w:gridCol w:w="1960"/>
        <w:gridCol w:w="1202"/>
        <w:gridCol w:w="1216"/>
        <w:gridCol w:w="1277"/>
        <w:gridCol w:w="1340"/>
        <w:gridCol w:w="1340"/>
        <w:gridCol w:w="1480"/>
      </w:tblGrid>
      <w:tr w:rsidR="002F2984" w:rsidRPr="009316A0" w:rsidTr="00320C82">
        <w:trPr>
          <w:trHeight w:val="255"/>
        </w:trPr>
        <w:tc>
          <w:tcPr>
            <w:tcW w:w="1960" w:type="dxa"/>
            <w:vMerge w:val="restart"/>
            <w:tcBorders>
              <w:top w:val="single" w:sz="4" w:space="0" w:color="auto"/>
              <w:left w:val="single" w:sz="4" w:space="0" w:color="auto"/>
              <w:bottom w:val="single" w:sz="4" w:space="0" w:color="auto"/>
              <w:right w:val="single" w:sz="4" w:space="0" w:color="auto"/>
            </w:tcBorders>
            <w:shd w:val="clear" w:color="8DB3E2" w:fill="8DB3E2"/>
            <w:noWrap/>
            <w:vAlign w:val="center"/>
            <w:hideMark/>
          </w:tcPr>
          <w:p w:rsidR="002F2984" w:rsidRPr="00C7694C" w:rsidRDefault="002F2984" w:rsidP="00320C82">
            <w:pP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Description</w:t>
            </w:r>
          </w:p>
        </w:tc>
        <w:tc>
          <w:tcPr>
            <w:tcW w:w="3680"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2F2984" w:rsidRPr="00C7694C" w:rsidRDefault="002F2984" w:rsidP="00320C82">
            <w:pPr>
              <w:jc w:val="cente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NSE</w:t>
            </w:r>
          </w:p>
        </w:tc>
        <w:tc>
          <w:tcPr>
            <w:tcW w:w="4160"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2F2984" w:rsidRPr="00C7694C" w:rsidRDefault="002F2984" w:rsidP="00320C82">
            <w:pPr>
              <w:jc w:val="cente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BSE</w:t>
            </w:r>
          </w:p>
        </w:tc>
      </w:tr>
      <w:tr w:rsidR="002F2984" w:rsidRPr="009316A0" w:rsidTr="00320C82">
        <w:trPr>
          <w:trHeight w:val="255"/>
        </w:trPr>
        <w:tc>
          <w:tcPr>
            <w:tcW w:w="1960" w:type="dxa"/>
            <w:vMerge/>
            <w:tcBorders>
              <w:top w:val="single" w:sz="4" w:space="0" w:color="auto"/>
              <w:left w:val="single" w:sz="4" w:space="0" w:color="auto"/>
              <w:bottom w:val="single" w:sz="4" w:space="0" w:color="auto"/>
              <w:right w:val="single" w:sz="4" w:space="0" w:color="auto"/>
            </w:tcBorders>
            <w:vAlign w:val="center"/>
            <w:hideMark/>
          </w:tcPr>
          <w:p w:rsidR="002F2984" w:rsidRPr="00C7694C" w:rsidRDefault="002F2984" w:rsidP="00320C82">
            <w:pPr>
              <w:rPr>
                <w:rFonts w:ascii="Garamond" w:eastAsia="Times New Roman" w:hAnsi="Garamond"/>
                <w:b/>
                <w:bCs/>
                <w:sz w:val="20"/>
                <w:szCs w:val="20"/>
                <w:lang w:val="en-IN" w:eastAsia="en-IN" w:bidi="hi-IN"/>
              </w:rPr>
            </w:pPr>
          </w:p>
        </w:tc>
        <w:tc>
          <w:tcPr>
            <w:tcW w:w="1193" w:type="dxa"/>
            <w:tcBorders>
              <w:top w:val="nil"/>
              <w:left w:val="nil"/>
              <w:bottom w:val="single" w:sz="4" w:space="0" w:color="auto"/>
              <w:right w:val="single" w:sz="4" w:space="0" w:color="auto"/>
            </w:tcBorders>
            <w:shd w:val="clear" w:color="8DB3E2" w:fill="8DB3E2"/>
            <w:noWrap/>
            <w:vAlign w:val="center"/>
            <w:hideMark/>
          </w:tcPr>
          <w:p w:rsidR="002F2984" w:rsidRPr="00C7694C" w:rsidRDefault="002F2984" w:rsidP="00320C82">
            <w:pPr>
              <w:jc w:val="cente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Apr-21</w:t>
            </w:r>
          </w:p>
        </w:tc>
        <w:tc>
          <w:tcPr>
            <w:tcW w:w="1210" w:type="dxa"/>
            <w:tcBorders>
              <w:top w:val="nil"/>
              <w:left w:val="nil"/>
              <w:bottom w:val="single" w:sz="4" w:space="0" w:color="auto"/>
              <w:right w:val="single" w:sz="4" w:space="0" w:color="auto"/>
            </w:tcBorders>
            <w:shd w:val="clear" w:color="8DB3E2" w:fill="8DB3E2"/>
            <w:noWrap/>
            <w:vAlign w:val="center"/>
            <w:hideMark/>
          </w:tcPr>
          <w:p w:rsidR="002F2984" w:rsidRPr="00C7694C" w:rsidRDefault="002F2984" w:rsidP="00320C82">
            <w:pPr>
              <w:jc w:val="cente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May-21</w:t>
            </w:r>
          </w:p>
        </w:tc>
        <w:tc>
          <w:tcPr>
            <w:tcW w:w="1277" w:type="dxa"/>
            <w:tcBorders>
              <w:top w:val="nil"/>
              <w:left w:val="nil"/>
              <w:bottom w:val="single" w:sz="4" w:space="0" w:color="auto"/>
              <w:right w:val="single" w:sz="4" w:space="0" w:color="auto"/>
            </w:tcBorders>
            <w:shd w:val="clear" w:color="8DB3E2" w:fill="8DB3E2"/>
            <w:vAlign w:val="center"/>
            <w:hideMark/>
          </w:tcPr>
          <w:p w:rsidR="002F2984" w:rsidRPr="00C7694C" w:rsidRDefault="002F2984" w:rsidP="00320C82">
            <w:pPr>
              <w:jc w:val="cente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Percentage Change Over Month</w:t>
            </w:r>
          </w:p>
        </w:tc>
        <w:tc>
          <w:tcPr>
            <w:tcW w:w="1340" w:type="dxa"/>
            <w:tcBorders>
              <w:top w:val="nil"/>
              <w:left w:val="nil"/>
              <w:bottom w:val="single" w:sz="4" w:space="0" w:color="auto"/>
              <w:right w:val="single" w:sz="4" w:space="0" w:color="auto"/>
            </w:tcBorders>
            <w:shd w:val="clear" w:color="8DB3E2" w:fill="8DB3E2"/>
            <w:noWrap/>
            <w:vAlign w:val="center"/>
            <w:hideMark/>
          </w:tcPr>
          <w:p w:rsidR="002F2984" w:rsidRPr="00C7694C" w:rsidRDefault="002F2984" w:rsidP="00320C82">
            <w:pPr>
              <w:jc w:val="cente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Apr-21</w:t>
            </w:r>
          </w:p>
        </w:tc>
        <w:tc>
          <w:tcPr>
            <w:tcW w:w="1340" w:type="dxa"/>
            <w:tcBorders>
              <w:top w:val="nil"/>
              <w:left w:val="nil"/>
              <w:bottom w:val="single" w:sz="4" w:space="0" w:color="auto"/>
              <w:right w:val="single" w:sz="4" w:space="0" w:color="auto"/>
            </w:tcBorders>
            <w:shd w:val="clear" w:color="8DB3E2" w:fill="8DB3E2"/>
            <w:noWrap/>
            <w:vAlign w:val="center"/>
            <w:hideMark/>
          </w:tcPr>
          <w:p w:rsidR="002F2984" w:rsidRPr="00C7694C" w:rsidRDefault="002F2984" w:rsidP="00320C82">
            <w:pPr>
              <w:jc w:val="cente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May-21</w:t>
            </w:r>
          </w:p>
        </w:tc>
        <w:tc>
          <w:tcPr>
            <w:tcW w:w="1480" w:type="dxa"/>
            <w:tcBorders>
              <w:top w:val="nil"/>
              <w:left w:val="nil"/>
              <w:bottom w:val="single" w:sz="4" w:space="0" w:color="auto"/>
              <w:right w:val="single" w:sz="4" w:space="0" w:color="auto"/>
            </w:tcBorders>
            <w:shd w:val="clear" w:color="8DB3E2" w:fill="8DB3E2"/>
            <w:vAlign w:val="center"/>
            <w:hideMark/>
          </w:tcPr>
          <w:p w:rsidR="002F2984" w:rsidRPr="00C7694C" w:rsidRDefault="002F2984" w:rsidP="00320C82">
            <w:pPr>
              <w:jc w:val="cente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Percentage Change Over Month</w:t>
            </w:r>
          </w:p>
        </w:tc>
      </w:tr>
      <w:tr w:rsidR="002F2984" w:rsidRPr="009316A0" w:rsidTr="00320C82">
        <w:trPr>
          <w:trHeight w:val="255"/>
        </w:trPr>
        <w:tc>
          <w:tcPr>
            <w:tcW w:w="9800"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2F2984" w:rsidRPr="00C7694C" w:rsidRDefault="002F2984" w:rsidP="00320C82">
            <w:pP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 xml:space="preserve">A. Turnover  </w:t>
            </w:r>
            <w:r w:rsidRPr="00C7694C">
              <w:rPr>
                <w:rFonts w:ascii="Rupee" w:eastAsia="Times New Roman" w:hAnsi="Rupee"/>
                <w:b/>
                <w:bCs/>
                <w:sz w:val="20"/>
                <w:szCs w:val="20"/>
                <w:lang w:val="en-IN" w:eastAsia="en-IN" w:bidi="hi-IN"/>
              </w:rPr>
              <w:t>(</w:t>
            </w:r>
            <w:r w:rsidRPr="00C7694C">
              <w:rPr>
                <w:rFonts w:ascii="Rupee Foradian" w:eastAsia="Times New Roman" w:hAnsi="Rupee Foradian"/>
                <w:b/>
                <w:bCs/>
                <w:sz w:val="20"/>
                <w:szCs w:val="20"/>
                <w:lang w:val="en-IN" w:eastAsia="en-IN" w:bidi="hi-IN"/>
              </w:rPr>
              <w:t>`</w:t>
            </w:r>
            <w:r w:rsidRPr="00C7694C">
              <w:rPr>
                <w:rFonts w:ascii="Rupee" w:eastAsia="Times New Roman" w:hAnsi="Rupee"/>
                <w:b/>
                <w:bCs/>
                <w:sz w:val="20"/>
                <w:szCs w:val="20"/>
                <w:lang w:val="en-IN" w:eastAsia="en-IN" w:bidi="hi-IN"/>
              </w:rPr>
              <w:t xml:space="preserve"> </w:t>
            </w:r>
            <w:r w:rsidRPr="00C7694C">
              <w:rPr>
                <w:rFonts w:ascii="Garamond" w:eastAsia="Times New Roman" w:hAnsi="Garamond"/>
                <w:b/>
                <w:bCs/>
                <w:sz w:val="20"/>
                <w:szCs w:val="20"/>
                <w:lang w:val="en-IN" w:eastAsia="en-IN" w:bidi="hi-IN"/>
              </w:rPr>
              <w:t>crore)</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 Index  Futures</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7,24,984</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6,12,520</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-15.5</w:t>
            </w:r>
          </w:p>
        </w:tc>
        <w:tc>
          <w:tcPr>
            <w:tcW w:w="1340" w:type="dxa"/>
            <w:tcBorders>
              <w:top w:val="nil"/>
              <w:left w:val="nil"/>
              <w:bottom w:val="single" w:sz="4" w:space="0" w:color="auto"/>
              <w:right w:val="single" w:sz="4" w:space="0" w:color="auto"/>
            </w:tcBorders>
            <w:shd w:val="clear" w:color="auto" w:fill="auto"/>
            <w:vAlign w:val="center"/>
            <w:hideMark/>
          </w:tcPr>
          <w:p w:rsidR="002F2984" w:rsidRPr="00C7694C" w:rsidRDefault="002F2984" w:rsidP="00320C82">
            <w:pPr>
              <w:jc w:val="right"/>
              <w:rPr>
                <w:rFonts w:ascii="Garamond" w:eastAsia="Times New Roman" w:hAnsi="Garamond"/>
                <w:color w:val="000000"/>
                <w:sz w:val="20"/>
                <w:szCs w:val="20"/>
                <w:lang w:val="en-IN" w:eastAsia="en-IN" w:bidi="hi-IN"/>
              </w:rPr>
            </w:pPr>
            <w:r w:rsidRPr="00C7694C">
              <w:rPr>
                <w:rFonts w:ascii="Garamond" w:eastAsia="Times New Roman" w:hAnsi="Garamond"/>
                <w:color w:val="000000"/>
                <w:sz w:val="20"/>
                <w:szCs w:val="20"/>
                <w:lang w:val="en-IN" w:eastAsia="en-IN" w:bidi="hi-IN"/>
              </w:rPr>
              <w:t>170.1</w:t>
            </w:r>
          </w:p>
        </w:tc>
        <w:tc>
          <w:tcPr>
            <w:tcW w:w="1340" w:type="dxa"/>
            <w:tcBorders>
              <w:top w:val="nil"/>
              <w:left w:val="nil"/>
              <w:bottom w:val="single" w:sz="4" w:space="0" w:color="auto"/>
              <w:right w:val="single" w:sz="4" w:space="0" w:color="auto"/>
            </w:tcBorders>
            <w:shd w:val="clear" w:color="auto" w:fill="auto"/>
            <w:vAlign w:val="center"/>
            <w:hideMark/>
          </w:tcPr>
          <w:p w:rsidR="002F2984" w:rsidRPr="00C7694C" w:rsidRDefault="002F2984" w:rsidP="00320C82">
            <w:pPr>
              <w:jc w:val="right"/>
              <w:rPr>
                <w:rFonts w:ascii="Garamond" w:eastAsia="Times New Roman" w:hAnsi="Garamond"/>
                <w:color w:val="000000"/>
                <w:sz w:val="20"/>
                <w:szCs w:val="20"/>
                <w:lang w:val="en-IN" w:eastAsia="en-IN" w:bidi="hi-IN"/>
              </w:rPr>
            </w:pPr>
            <w:r w:rsidRPr="00C7694C">
              <w:rPr>
                <w:rFonts w:ascii="Garamond" w:eastAsia="Times New Roman" w:hAnsi="Garamond"/>
                <w:color w:val="000000"/>
                <w:sz w:val="20"/>
                <w:szCs w:val="20"/>
                <w:lang w:val="en-IN" w:eastAsia="en-IN" w:bidi="hi-IN"/>
              </w:rPr>
              <w:t>193.4</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Pr>
                <w:rFonts w:ascii="Garamond" w:eastAsia="Times New Roman" w:hAnsi="Garamond"/>
                <w:sz w:val="20"/>
                <w:szCs w:val="20"/>
                <w:lang w:val="en-IN" w:eastAsia="en-IN" w:bidi="hi-IN"/>
              </w:rPr>
              <w:t>13.7</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(ii) Options on Index</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Put</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3,97,16,033</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3,78,00,824</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-4.8</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2,69,159</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19,59,640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628.1</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Call</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4,33,18,977</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4,28,58,735</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-1.1</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57,68,683</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45,19,811</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-21.6</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(iii) Stock Futures</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15,79,923</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17,33,905</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9.7</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(iv) Options on Stock</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Put</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9,82,108</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9,91,741</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1.0</w:t>
            </w:r>
          </w:p>
        </w:tc>
        <w:tc>
          <w:tcPr>
            <w:tcW w:w="1340" w:type="dxa"/>
            <w:tcBorders>
              <w:top w:val="nil"/>
              <w:left w:val="nil"/>
              <w:bottom w:val="single" w:sz="4" w:space="0" w:color="auto"/>
              <w:right w:val="single" w:sz="4" w:space="0" w:color="auto"/>
            </w:tcBorders>
            <w:shd w:val="clear" w:color="auto" w:fill="auto"/>
            <w:noWrap/>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340" w:type="dxa"/>
            <w:tcBorders>
              <w:top w:val="nil"/>
              <w:left w:val="nil"/>
              <w:bottom w:val="single" w:sz="4" w:space="0" w:color="auto"/>
              <w:right w:val="single" w:sz="4" w:space="0" w:color="auto"/>
            </w:tcBorders>
            <w:shd w:val="clear" w:color="auto" w:fill="auto"/>
            <w:noWrap/>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Call</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23,13,439</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26,55,105</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14.8</w:t>
            </w:r>
          </w:p>
        </w:tc>
        <w:tc>
          <w:tcPr>
            <w:tcW w:w="1340" w:type="dxa"/>
            <w:tcBorders>
              <w:top w:val="nil"/>
              <w:left w:val="nil"/>
              <w:bottom w:val="single" w:sz="4" w:space="0" w:color="auto"/>
              <w:right w:val="single" w:sz="4" w:space="0" w:color="auto"/>
            </w:tcBorders>
            <w:shd w:val="clear" w:color="auto" w:fill="auto"/>
            <w:noWrap/>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340" w:type="dxa"/>
            <w:tcBorders>
              <w:top w:val="nil"/>
              <w:left w:val="nil"/>
              <w:bottom w:val="single" w:sz="4" w:space="0" w:color="auto"/>
              <w:right w:val="single" w:sz="4" w:space="0" w:color="auto"/>
            </w:tcBorders>
            <w:shd w:val="clear" w:color="auto" w:fill="auto"/>
            <w:noWrap/>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 xml:space="preserve">         Total</w:t>
            </w:r>
          </w:p>
        </w:tc>
        <w:tc>
          <w:tcPr>
            <w:tcW w:w="1193"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8,86,35,463</w:t>
            </w:r>
          </w:p>
        </w:tc>
        <w:tc>
          <w:tcPr>
            <w:tcW w:w="121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8,66,52,832</w:t>
            </w:r>
          </w:p>
        </w:tc>
        <w:tc>
          <w:tcPr>
            <w:tcW w:w="1277"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-2.2</w:t>
            </w:r>
          </w:p>
        </w:tc>
        <w:tc>
          <w:tcPr>
            <w:tcW w:w="134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60,38,012</w:t>
            </w:r>
          </w:p>
        </w:tc>
        <w:tc>
          <w:tcPr>
            <w:tcW w:w="134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64,79,644</w:t>
            </w:r>
          </w:p>
        </w:tc>
        <w:tc>
          <w:tcPr>
            <w:tcW w:w="148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7.3</w:t>
            </w:r>
          </w:p>
        </w:tc>
      </w:tr>
      <w:tr w:rsidR="002F2984" w:rsidRPr="009316A0" w:rsidTr="00320C82">
        <w:trPr>
          <w:trHeight w:val="255"/>
        </w:trPr>
        <w:tc>
          <w:tcPr>
            <w:tcW w:w="9800"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2F2984" w:rsidRPr="00C7694C" w:rsidRDefault="002F2984" w:rsidP="00320C82">
            <w:pP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 xml:space="preserve">B. No. of Contracts </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 Index  Futures</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77,56,774</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63,87,640</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-17.7</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color w:val="000000"/>
                <w:sz w:val="20"/>
                <w:szCs w:val="20"/>
                <w:lang w:val="en-IN" w:eastAsia="en-IN" w:bidi="hi-IN"/>
              </w:rPr>
            </w:pPr>
            <w:r w:rsidRPr="00C7694C">
              <w:rPr>
                <w:rFonts w:ascii="Garamond" w:eastAsia="Times New Roman" w:hAnsi="Garamond"/>
                <w:color w:val="000000"/>
                <w:sz w:val="20"/>
                <w:szCs w:val="20"/>
                <w:lang w:val="en-IN" w:eastAsia="en-IN" w:bidi="hi-IN"/>
              </w:rPr>
              <w:t>1,480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color w:val="000000"/>
                <w:sz w:val="20"/>
                <w:szCs w:val="20"/>
                <w:lang w:val="en-IN" w:eastAsia="en-IN" w:bidi="hi-IN"/>
              </w:rPr>
            </w:pPr>
            <w:r w:rsidRPr="00C7694C">
              <w:rPr>
                <w:rFonts w:ascii="Garamond" w:eastAsia="Times New Roman" w:hAnsi="Garamond"/>
                <w:color w:val="000000"/>
                <w:sz w:val="20"/>
                <w:szCs w:val="20"/>
                <w:lang w:val="en-IN" w:eastAsia="en-IN" w:bidi="hi-IN"/>
              </w:rPr>
              <w:t>1,646</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color w:val="000000"/>
                <w:sz w:val="20"/>
                <w:szCs w:val="20"/>
                <w:lang w:val="en-IN" w:eastAsia="en-IN" w:bidi="hi-IN"/>
              </w:rPr>
            </w:pPr>
            <w:r w:rsidRPr="00C7694C">
              <w:rPr>
                <w:rFonts w:ascii="Garamond" w:eastAsia="Times New Roman" w:hAnsi="Garamond"/>
                <w:color w:val="000000"/>
                <w:sz w:val="20"/>
                <w:szCs w:val="20"/>
                <w:lang w:val="en-IN" w:eastAsia="en-IN" w:bidi="hi-IN"/>
              </w:rPr>
              <w:t>11.2</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(ii) Options on Index</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Put</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43,97,22,484</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40,78,08,269</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-7.3</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24,87,683</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1,84,68,965</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642.4</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Call</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46,25,41,633</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44,84,47,280</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4,67,88,322</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3,65,40,390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-21.9</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(iii) Stock Futures</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1,69,38,642</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2,23,45,925</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31.9</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(iv) Options on Stock</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Put</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1,07,20,638</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1,32,41,206</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23.5</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Call</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2,30,44,011</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3,27,64,110</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42.2</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 xml:space="preserve">         Total</w:t>
            </w:r>
          </w:p>
        </w:tc>
        <w:tc>
          <w:tcPr>
            <w:tcW w:w="1193"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96,07,24,182</w:t>
            </w:r>
          </w:p>
        </w:tc>
        <w:tc>
          <w:tcPr>
            <w:tcW w:w="121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93,09,94,430</w:t>
            </w:r>
          </w:p>
        </w:tc>
        <w:tc>
          <w:tcPr>
            <w:tcW w:w="1277"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-3.1</w:t>
            </w:r>
          </w:p>
        </w:tc>
        <w:tc>
          <w:tcPr>
            <w:tcW w:w="134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4,92,77,485</w:t>
            </w:r>
          </w:p>
        </w:tc>
        <w:tc>
          <w:tcPr>
            <w:tcW w:w="134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5,50,11,001</w:t>
            </w:r>
          </w:p>
        </w:tc>
        <w:tc>
          <w:tcPr>
            <w:tcW w:w="148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11.6</w:t>
            </w:r>
          </w:p>
        </w:tc>
      </w:tr>
      <w:tr w:rsidR="002F2984" w:rsidRPr="009316A0" w:rsidTr="00320C82">
        <w:trPr>
          <w:trHeight w:val="255"/>
        </w:trPr>
        <w:tc>
          <w:tcPr>
            <w:tcW w:w="9800"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2F2984" w:rsidRPr="00C7694C" w:rsidRDefault="002F2984" w:rsidP="00320C82">
            <w:pP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 xml:space="preserve">C.  Open Interest in Terms of Value ( </w:t>
            </w:r>
            <w:r w:rsidRPr="00C7694C">
              <w:rPr>
                <w:rFonts w:ascii="Rupee Foradian" w:eastAsia="Times New Roman" w:hAnsi="Rupee Foradian"/>
                <w:b/>
                <w:bCs/>
                <w:sz w:val="20"/>
                <w:szCs w:val="20"/>
                <w:lang w:val="en-IN" w:eastAsia="en-IN" w:bidi="hi-IN"/>
              </w:rPr>
              <w:t>`</w:t>
            </w:r>
            <w:r w:rsidRPr="00C7694C">
              <w:rPr>
                <w:rFonts w:ascii="Garamond" w:eastAsia="Times New Roman" w:hAnsi="Garamond"/>
                <w:b/>
                <w:bCs/>
                <w:sz w:val="20"/>
                <w:szCs w:val="20"/>
                <w:lang w:val="en-IN" w:eastAsia="en-IN" w:bidi="hi-IN"/>
              </w:rPr>
              <w:t xml:space="preserve"> crore)</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 Index  Futures</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20,363</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24,130</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18.5</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11</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161.8</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(ii) Options on Index</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Put</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1,19,376</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1,95,046</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63.4</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120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31</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-74.1</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Call</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1,19,199</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1,51,066</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26.7</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171</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24</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-86.2</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(iii) Stock Futures</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1,38,011</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1,58,885</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15.1</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(iv) Options on Stock</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Put</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21,496</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28,554</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32.8</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Call</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34,044</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52,552</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54.4</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 xml:space="preserve">         Total</w:t>
            </w:r>
          </w:p>
        </w:tc>
        <w:tc>
          <w:tcPr>
            <w:tcW w:w="1193"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4,52,490</w:t>
            </w:r>
          </w:p>
        </w:tc>
        <w:tc>
          <w:tcPr>
            <w:tcW w:w="121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6,10,233</w:t>
            </w:r>
          </w:p>
        </w:tc>
        <w:tc>
          <w:tcPr>
            <w:tcW w:w="1277"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34.9</w:t>
            </w:r>
          </w:p>
        </w:tc>
        <w:tc>
          <w:tcPr>
            <w:tcW w:w="134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294.6</w:t>
            </w:r>
          </w:p>
        </w:tc>
        <w:tc>
          <w:tcPr>
            <w:tcW w:w="134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65.2</w:t>
            </w:r>
          </w:p>
        </w:tc>
        <w:tc>
          <w:tcPr>
            <w:tcW w:w="148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-77.9</w:t>
            </w:r>
          </w:p>
        </w:tc>
      </w:tr>
      <w:tr w:rsidR="002F2984" w:rsidRPr="009316A0" w:rsidTr="00320C82">
        <w:trPr>
          <w:trHeight w:val="255"/>
        </w:trPr>
        <w:tc>
          <w:tcPr>
            <w:tcW w:w="9800"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2F2984" w:rsidRPr="00C7694C" w:rsidRDefault="002F2984" w:rsidP="00320C82">
            <w:pP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D.  Open Interest in Terms of No of Contracts</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 Index  Futures</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1,99,637</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2,29,373</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14.9</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35</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86</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145.7</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(ii) Options on Index</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Put</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11,69,590</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18,37,320</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57.1</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1,044</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254</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-75.7</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Call</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11,84,833</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14,65,196</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23.7</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1,485</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193</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-87.0</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xml:space="preserve">  (iii) Stock Futures</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18,82,835</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20,16,498</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7.1</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(iv) Options on Stock</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 </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Put</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2,97,070</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3,72,028</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25.2</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i/>
                <w:iCs/>
                <w:sz w:val="20"/>
                <w:szCs w:val="20"/>
                <w:lang w:val="en-IN" w:eastAsia="en-IN" w:bidi="hi-IN"/>
              </w:rPr>
            </w:pPr>
            <w:r w:rsidRPr="00C7694C">
              <w:rPr>
                <w:rFonts w:ascii="Garamond" w:eastAsia="Times New Roman" w:hAnsi="Garamond"/>
                <w:i/>
                <w:iCs/>
                <w:sz w:val="20"/>
                <w:szCs w:val="20"/>
                <w:lang w:val="en-IN" w:eastAsia="en-IN" w:bidi="hi-IN"/>
              </w:rPr>
              <w:t xml:space="preserve">          Call</w:t>
            </w:r>
          </w:p>
        </w:tc>
        <w:tc>
          <w:tcPr>
            <w:tcW w:w="1193"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4,73,326</w:t>
            </w:r>
          </w:p>
        </w:tc>
        <w:tc>
          <w:tcPr>
            <w:tcW w:w="121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6,92,186</w:t>
            </w:r>
          </w:p>
        </w:tc>
        <w:tc>
          <w:tcPr>
            <w:tcW w:w="1277"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46.2</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34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0</w:t>
            </w:r>
          </w:p>
        </w:tc>
        <w:tc>
          <w:tcPr>
            <w:tcW w:w="1480" w:type="dxa"/>
            <w:tcBorders>
              <w:top w:val="nil"/>
              <w:left w:val="nil"/>
              <w:bottom w:val="single" w:sz="4" w:space="0" w:color="auto"/>
              <w:right w:val="single" w:sz="4" w:space="0" w:color="auto"/>
            </w:tcBorders>
            <w:shd w:val="clear" w:color="auto" w:fill="auto"/>
            <w:noWrap/>
            <w:vAlign w:val="center"/>
            <w:hideMark/>
          </w:tcPr>
          <w:p w:rsidR="002F2984" w:rsidRPr="00C7694C" w:rsidRDefault="002F2984" w:rsidP="00320C82">
            <w:pPr>
              <w:jc w:val="right"/>
              <w:rPr>
                <w:rFonts w:ascii="Garamond" w:eastAsia="Times New Roman" w:hAnsi="Garamond"/>
                <w:sz w:val="20"/>
                <w:szCs w:val="20"/>
                <w:lang w:val="en-IN" w:eastAsia="en-IN" w:bidi="hi-IN"/>
              </w:rPr>
            </w:pPr>
            <w:r w:rsidRPr="00C7694C">
              <w:rPr>
                <w:rFonts w:ascii="Garamond" w:eastAsia="Times New Roman" w:hAnsi="Garamond"/>
                <w:sz w:val="20"/>
                <w:szCs w:val="20"/>
                <w:lang w:val="en-IN" w:eastAsia="en-IN" w:bidi="hi-IN"/>
              </w:rPr>
              <w:t>NA</w:t>
            </w:r>
          </w:p>
        </w:tc>
      </w:tr>
      <w:tr w:rsidR="002F2984" w:rsidRPr="009316A0" w:rsidTr="00320C82">
        <w:trPr>
          <w:trHeight w:val="255"/>
        </w:trPr>
        <w:tc>
          <w:tcPr>
            <w:tcW w:w="1960" w:type="dxa"/>
            <w:tcBorders>
              <w:top w:val="nil"/>
              <w:left w:val="single" w:sz="4" w:space="0" w:color="auto"/>
              <w:bottom w:val="single" w:sz="4" w:space="0" w:color="auto"/>
              <w:right w:val="single" w:sz="4" w:space="0" w:color="auto"/>
            </w:tcBorders>
            <w:shd w:val="clear" w:color="C6D9F0" w:fill="C6D9F0"/>
            <w:noWrap/>
            <w:vAlign w:val="center"/>
            <w:hideMark/>
          </w:tcPr>
          <w:p w:rsidR="002F2984" w:rsidRPr="00C7694C" w:rsidRDefault="002F2984" w:rsidP="00320C82">
            <w:pPr>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 xml:space="preserve">         Total</w:t>
            </w:r>
          </w:p>
        </w:tc>
        <w:tc>
          <w:tcPr>
            <w:tcW w:w="1193"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52,07,291</w:t>
            </w:r>
          </w:p>
        </w:tc>
        <w:tc>
          <w:tcPr>
            <w:tcW w:w="121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66,12,601</w:t>
            </w:r>
          </w:p>
        </w:tc>
        <w:tc>
          <w:tcPr>
            <w:tcW w:w="1277"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27.0</w:t>
            </w:r>
          </w:p>
        </w:tc>
        <w:tc>
          <w:tcPr>
            <w:tcW w:w="134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2,564</w:t>
            </w:r>
          </w:p>
        </w:tc>
        <w:tc>
          <w:tcPr>
            <w:tcW w:w="134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533</w:t>
            </w:r>
          </w:p>
        </w:tc>
        <w:tc>
          <w:tcPr>
            <w:tcW w:w="1480" w:type="dxa"/>
            <w:tcBorders>
              <w:top w:val="nil"/>
              <w:left w:val="nil"/>
              <w:bottom w:val="single" w:sz="4" w:space="0" w:color="auto"/>
              <w:right w:val="single" w:sz="4" w:space="0" w:color="auto"/>
            </w:tcBorders>
            <w:shd w:val="clear" w:color="C6D9F0" w:fill="C6D9F0"/>
            <w:noWrap/>
            <w:vAlign w:val="center"/>
            <w:hideMark/>
          </w:tcPr>
          <w:p w:rsidR="002F2984" w:rsidRPr="00C7694C" w:rsidRDefault="002F2984" w:rsidP="00320C82">
            <w:pPr>
              <w:jc w:val="right"/>
              <w:rPr>
                <w:rFonts w:ascii="Garamond" w:eastAsia="Times New Roman" w:hAnsi="Garamond"/>
                <w:b/>
                <w:bCs/>
                <w:sz w:val="20"/>
                <w:szCs w:val="20"/>
                <w:lang w:val="en-IN" w:eastAsia="en-IN" w:bidi="hi-IN"/>
              </w:rPr>
            </w:pPr>
            <w:r w:rsidRPr="00C7694C">
              <w:rPr>
                <w:rFonts w:ascii="Garamond" w:eastAsia="Times New Roman" w:hAnsi="Garamond"/>
                <w:b/>
                <w:bCs/>
                <w:sz w:val="20"/>
                <w:szCs w:val="20"/>
                <w:lang w:val="en-IN" w:eastAsia="en-IN" w:bidi="hi-IN"/>
              </w:rPr>
              <w:t>-79.2</w:t>
            </w:r>
          </w:p>
        </w:tc>
      </w:tr>
    </w:tbl>
    <w:p w:rsidR="002F2984" w:rsidRPr="00C41524" w:rsidRDefault="002F2984" w:rsidP="002F2984">
      <w:pPr>
        <w:tabs>
          <w:tab w:val="left" w:pos="3135"/>
        </w:tabs>
        <w:spacing w:line="276" w:lineRule="auto"/>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fldChar w:fldCharType="end"/>
      </w:r>
      <w:r w:rsidRPr="00C41524">
        <w:rPr>
          <w:rFonts w:ascii="Palatino Linotype" w:eastAsia="Palatino Linotype" w:hAnsi="Palatino Linotype" w:cs="Palatino Linotype"/>
          <w:b/>
          <w:sz w:val="18"/>
          <w:szCs w:val="18"/>
        </w:rPr>
        <w:t>Source: NSE and BSE</w:t>
      </w:r>
    </w:p>
    <w:p w:rsidR="002F2984" w:rsidRDefault="002F2984" w:rsidP="002F2984">
      <w:pPr>
        <w:tabs>
          <w:tab w:val="left" w:pos="3135"/>
        </w:tabs>
        <w:spacing w:line="276" w:lineRule="auto"/>
        <w:rPr>
          <w:rFonts w:ascii="Palatino Linotype" w:eastAsia="Palatino Linotype" w:hAnsi="Palatino Linotype" w:cs="Palatino Linotype"/>
          <w:b/>
          <w:color w:val="2E74B5"/>
          <w:sz w:val="22"/>
          <w:szCs w:val="22"/>
          <w:highlight w:val="yellow"/>
        </w:rPr>
      </w:pPr>
    </w:p>
    <w:p w:rsidR="002F2984" w:rsidRDefault="002F2984" w:rsidP="002F2984">
      <w:pPr>
        <w:tabs>
          <w:tab w:val="left" w:pos="3135"/>
        </w:tabs>
        <w:spacing w:line="276" w:lineRule="auto"/>
        <w:rPr>
          <w:rFonts w:ascii="Palatino Linotype" w:eastAsia="Palatino Linotype" w:hAnsi="Palatino Linotype" w:cs="Palatino Linotype"/>
          <w:b/>
          <w:color w:val="2E74B5"/>
          <w:sz w:val="22"/>
          <w:szCs w:val="22"/>
          <w:highlight w:val="yellow"/>
        </w:rPr>
      </w:pPr>
    </w:p>
    <w:p w:rsidR="002F2984" w:rsidRPr="002357A9" w:rsidRDefault="002F2984" w:rsidP="002F2984">
      <w:pPr>
        <w:tabs>
          <w:tab w:val="left" w:pos="3135"/>
        </w:tabs>
        <w:spacing w:line="276" w:lineRule="auto"/>
        <w:rPr>
          <w:rFonts w:ascii="Palatino Linotype" w:eastAsia="Palatino Linotype" w:hAnsi="Palatino Linotype" w:cs="Palatino Linotype"/>
          <w:b/>
          <w:sz w:val="22"/>
          <w:szCs w:val="22"/>
          <w:u w:val="single"/>
        </w:rPr>
      </w:pPr>
      <w:r w:rsidRPr="002357A9">
        <w:rPr>
          <w:rFonts w:ascii="Palatino Linotype" w:eastAsia="Palatino Linotype" w:hAnsi="Palatino Linotype" w:cs="Palatino Linotype"/>
          <w:b/>
          <w:sz w:val="22"/>
          <w:szCs w:val="22"/>
          <w:u w:val="single"/>
        </w:rPr>
        <w:lastRenderedPageBreak/>
        <w:t xml:space="preserve">BSE </w:t>
      </w:r>
    </w:p>
    <w:p w:rsidR="002F2984" w:rsidRPr="00C41524"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C41524">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May</w:t>
      </w:r>
      <w:r w:rsidRPr="00C41524">
        <w:rPr>
          <w:rFonts w:ascii="Palatino Linotype" w:eastAsia="Palatino Linotype" w:hAnsi="Palatino Linotype" w:cs="Palatino Linotype"/>
          <w:sz w:val="22"/>
          <w:szCs w:val="22"/>
        </w:rPr>
        <w:t xml:space="preserve"> 2021, the notional turnover of the equ</w:t>
      </w:r>
      <w:r>
        <w:rPr>
          <w:rFonts w:ascii="Palatino Linotype" w:eastAsia="Palatino Linotype" w:hAnsi="Palatino Linotype" w:cs="Palatino Linotype"/>
          <w:sz w:val="22"/>
          <w:szCs w:val="22"/>
        </w:rPr>
        <w:t>ity derivatives segment at BSE in</w:t>
      </w:r>
      <w:r w:rsidRPr="00C41524">
        <w:rPr>
          <w:rFonts w:ascii="Palatino Linotype" w:eastAsia="Palatino Linotype" w:hAnsi="Palatino Linotype" w:cs="Palatino Linotype"/>
          <w:sz w:val="22"/>
          <w:szCs w:val="22"/>
        </w:rPr>
        <w:t xml:space="preserve">creased by </w:t>
      </w:r>
      <w:r>
        <w:rPr>
          <w:rFonts w:ascii="Palatino Linotype" w:eastAsia="Palatino Linotype" w:hAnsi="Palatino Linotype" w:cs="Palatino Linotype"/>
          <w:sz w:val="22"/>
          <w:szCs w:val="22"/>
        </w:rPr>
        <w:t>7.3</w:t>
      </w:r>
      <w:r w:rsidRPr="00C41524">
        <w:rPr>
          <w:rFonts w:ascii="Palatino Linotype" w:eastAsia="Palatino Linotype" w:hAnsi="Palatino Linotype" w:cs="Palatino Linotype"/>
          <w:sz w:val="22"/>
          <w:szCs w:val="22"/>
        </w:rPr>
        <w:t xml:space="preserve"> per cent to </w:t>
      </w:r>
      <w:r>
        <w:rPr>
          <w:rFonts w:ascii="Times New Roman" w:eastAsia="Palatino Linotype" w:hAnsi="Times New Roman"/>
          <w:sz w:val="22"/>
          <w:szCs w:val="22"/>
        </w:rPr>
        <w:t>₹</w:t>
      </w:r>
      <w:r>
        <w:rPr>
          <w:rFonts w:ascii="Palatino Linotype" w:eastAsia="Palatino Linotype" w:hAnsi="Palatino Linotype" w:cs="Palatino Linotype"/>
          <w:sz w:val="22"/>
          <w:szCs w:val="22"/>
        </w:rPr>
        <w:t xml:space="preserve">64.8 </w:t>
      </w:r>
      <w:r w:rsidRPr="00C41524">
        <w:rPr>
          <w:rFonts w:ascii="Palatino Linotype" w:eastAsia="Palatino Linotype" w:hAnsi="Palatino Linotype" w:cs="Palatino Linotype"/>
          <w:sz w:val="22"/>
          <w:szCs w:val="22"/>
        </w:rPr>
        <w:t xml:space="preserve">lakh crore compared </w:t>
      </w:r>
      <w:r>
        <w:rPr>
          <w:rFonts w:ascii="Palatino Linotype" w:eastAsia="Palatino Linotype" w:hAnsi="Palatino Linotype" w:cs="Palatino Linotype"/>
          <w:sz w:val="22"/>
          <w:szCs w:val="22"/>
        </w:rPr>
        <w:t>from</w:t>
      </w:r>
      <w:r w:rsidRPr="00C41524">
        <w:rPr>
          <w:rFonts w:ascii="Palatino Linotype" w:eastAsia="Palatino Linotype" w:hAnsi="Palatino Linotype" w:cs="Palatino Linotype"/>
          <w:sz w:val="22"/>
          <w:szCs w:val="22"/>
        </w:rPr>
        <w:t xml:space="preserve"> </w:t>
      </w:r>
      <w:r>
        <w:rPr>
          <w:rFonts w:ascii="Times New Roman" w:eastAsia="Palatino Linotype" w:hAnsi="Times New Roman"/>
          <w:sz w:val="22"/>
          <w:szCs w:val="22"/>
        </w:rPr>
        <w:t>₹</w:t>
      </w:r>
      <w:r>
        <w:rPr>
          <w:rFonts w:ascii="Palatino Linotype" w:eastAsia="Palatino Linotype" w:hAnsi="Palatino Linotype" w:cs="Palatino Linotype"/>
          <w:sz w:val="22"/>
          <w:szCs w:val="22"/>
        </w:rPr>
        <w:t>60.4</w:t>
      </w:r>
      <w:r w:rsidRPr="00C41524">
        <w:rPr>
          <w:rFonts w:ascii="Palatino Linotype" w:eastAsia="Palatino Linotype" w:hAnsi="Palatino Linotype" w:cs="Palatino Linotype"/>
          <w:sz w:val="22"/>
          <w:szCs w:val="22"/>
        </w:rPr>
        <w:t xml:space="preserve"> lakh crore in </w:t>
      </w:r>
      <w:r>
        <w:rPr>
          <w:rFonts w:ascii="Palatino Linotype" w:eastAsia="Tahoma" w:hAnsi="Palatino Linotype"/>
          <w:sz w:val="22"/>
          <w:szCs w:val="22"/>
        </w:rPr>
        <w:t>April 2021</w:t>
      </w:r>
      <w:r w:rsidRPr="00C41524">
        <w:rPr>
          <w:rFonts w:ascii="Palatino Linotype" w:eastAsia="Palatino Linotype" w:hAnsi="Palatino Linotype" w:cs="Palatino Linotype"/>
          <w:sz w:val="22"/>
          <w:szCs w:val="22"/>
        </w:rPr>
        <w:t xml:space="preserve">.  </w:t>
      </w:r>
    </w:p>
    <w:p w:rsidR="002F2984" w:rsidRPr="00C41524" w:rsidRDefault="002F2984" w:rsidP="002F2984">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C41524">
        <w:rPr>
          <w:rFonts w:ascii="Palatino Linotype" w:eastAsia="Palatino Linotype" w:hAnsi="Palatino Linotype" w:cs="Palatino Linotype"/>
          <w:sz w:val="22"/>
          <w:szCs w:val="22"/>
        </w:rPr>
        <w:t>As at</w:t>
      </w:r>
      <w:r w:rsidRPr="00C41524">
        <w:rPr>
          <w:rFonts w:ascii="Palatino Linotype" w:eastAsia="Tahoma" w:hAnsi="Palatino Linotype"/>
          <w:sz w:val="22"/>
          <w:szCs w:val="22"/>
        </w:rPr>
        <w:t xml:space="preserve"> the end of </w:t>
      </w:r>
      <w:r>
        <w:rPr>
          <w:rFonts w:ascii="Palatino Linotype" w:eastAsia="Tahoma" w:hAnsi="Palatino Linotype"/>
          <w:sz w:val="22"/>
          <w:szCs w:val="22"/>
        </w:rPr>
        <w:t>May</w:t>
      </w:r>
      <w:r w:rsidRPr="00C41524">
        <w:rPr>
          <w:rFonts w:ascii="Palatino Linotype" w:eastAsia="Tahoma" w:hAnsi="Palatino Linotype"/>
          <w:sz w:val="22"/>
          <w:szCs w:val="22"/>
        </w:rPr>
        <w:t xml:space="preserve"> 2021, the open interest in terms of value at BSE stood at </w:t>
      </w:r>
      <w:r>
        <w:rPr>
          <w:rFonts w:ascii="Times New Roman" w:eastAsia="Tahoma" w:hAnsi="Times New Roman"/>
          <w:sz w:val="22"/>
          <w:szCs w:val="22"/>
        </w:rPr>
        <w:t>₹</w:t>
      </w:r>
      <w:r>
        <w:rPr>
          <w:rFonts w:ascii="Palatino Linotype" w:eastAsia="Tahoma" w:hAnsi="Palatino Linotype"/>
          <w:sz w:val="22"/>
          <w:szCs w:val="22"/>
        </w:rPr>
        <w:t>65.2</w:t>
      </w:r>
      <w:r w:rsidRPr="00C41524">
        <w:rPr>
          <w:rFonts w:ascii="Palatino Linotype" w:eastAsia="Tahoma" w:hAnsi="Palatino Linotype"/>
          <w:sz w:val="22"/>
          <w:szCs w:val="22"/>
        </w:rPr>
        <w:t xml:space="preserve"> crore compared to </w:t>
      </w:r>
      <w:r>
        <w:rPr>
          <w:rFonts w:ascii="Times New Roman" w:eastAsia="Tahoma" w:hAnsi="Times New Roman"/>
          <w:sz w:val="22"/>
          <w:szCs w:val="22"/>
        </w:rPr>
        <w:t>₹</w:t>
      </w:r>
      <w:r>
        <w:rPr>
          <w:rFonts w:ascii="Palatino Linotype" w:eastAsia="Tahoma" w:hAnsi="Palatino Linotype"/>
          <w:sz w:val="22"/>
          <w:szCs w:val="22"/>
        </w:rPr>
        <w:t>294.6</w:t>
      </w:r>
      <w:r w:rsidRPr="00C41524">
        <w:rPr>
          <w:rFonts w:ascii="Palatino Linotype" w:eastAsia="Tahoma" w:hAnsi="Palatino Linotype"/>
          <w:sz w:val="22"/>
          <w:szCs w:val="22"/>
        </w:rPr>
        <w:t xml:space="preserve"> crore as at the end of </w:t>
      </w:r>
      <w:r>
        <w:rPr>
          <w:rFonts w:ascii="Palatino Linotype" w:eastAsia="Tahoma" w:hAnsi="Palatino Linotype"/>
          <w:sz w:val="22"/>
          <w:szCs w:val="22"/>
        </w:rPr>
        <w:t>April 2021</w:t>
      </w:r>
      <w:r w:rsidRPr="00C41524">
        <w:rPr>
          <w:rFonts w:ascii="Palatino Linotype" w:eastAsia="Tahoma" w:hAnsi="Palatino Linotype"/>
          <w:sz w:val="22"/>
          <w:szCs w:val="22"/>
        </w:rPr>
        <w:t>.</w:t>
      </w:r>
    </w:p>
    <w:p w:rsidR="002F2984" w:rsidRPr="00C41524" w:rsidRDefault="002F2984" w:rsidP="002F2984">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rPr>
      </w:pPr>
    </w:p>
    <w:p w:rsidR="002F2984" w:rsidRPr="00C41524" w:rsidRDefault="002F2984" w:rsidP="002F2984">
      <w:pPr>
        <w:tabs>
          <w:tab w:val="left" w:pos="3135"/>
        </w:tabs>
        <w:spacing w:line="276" w:lineRule="auto"/>
        <w:rPr>
          <w:rFonts w:ascii="Palatino Linotype" w:eastAsia="Palatino Linotype" w:hAnsi="Palatino Linotype" w:cs="Palatino Linotype"/>
          <w:b/>
          <w:sz w:val="22"/>
          <w:szCs w:val="22"/>
          <w:u w:val="single"/>
        </w:rPr>
      </w:pPr>
      <w:r w:rsidRPr="00C41524">
        <w:rPr>
          <w:rFonts w:ascii="Palatino Linotype" w:eastAsia="Palatino Linotype" w:hAnsi="Palatino Linotype" w:cs="Palatino Linotype"/>
          <w:b/>
          <w:sz w:val="22"/>
          <w:szCs w:val="22"/>
          <w:u w:val="single"/>
        </w:rPr>
        <w:t xml:space="preserve">NSE </w:t>
      </w:r>
    </w:p>
    <w:p w:rsidR="002F2984" w:rsidRPr="00C41524" w:rsidRDefault="002F2984" w:rsidP="002F2984">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C41524">
        <w:rPr>
          <w:rFonts w:ascii="Palatino Linotype" w:eastAsia="Palatino Linotype" w:hAnsi="Palatino Linotype" w:cs="Palatino Linotype"/>
          <w:sz w:val="22"/>
          <w:szCs w:val="22"/>
        </w:rPr>
        <w:t xml:space="preserve">The monthly notional turnover in the equity derivatives segment at NSE </w:t>
      </w:r>
      <w:r>
        <w:rPr>
          <w:rFonts w:ascii="Palatino Linotype" w:eastAsia="Palatino Linotype" w:hAnsi="Palatino Linotype" w:cs="Palatino Linotype"/>
          <w:sz w:val="22"/>
          <w:szCs w:val="22"/>
        </w:rPr>
        <w:t>de</w:t>
      </w:r>
      <w:r w:rsidRPr="00C41524">
        <w:rPr>
          <w:rFonts w:ascii="Palatino Linotype" w:eastAsia="Palatino Linotype" w:hAnsi="Palatino Linotype" w:cs="Palatino Linotype"/>
          <w:sz w:val="22"/>
          <w:szCs w:val="22"/>
        </w:rPr>
        <w:t xml:space="preserve">creased by </w:t>
      </w:r>
      <w:r>
        <w:rPr>
          <w:rFonts w:ascii="Palatino Linotype" w:eastAsia="Palatino Linotype" w:hAnsi="Palatino Linotype" w:cs="Palatino Linotype"/>
          <w:sz w:val="22"/>
          <w:szCs w:val="22"/>
        </w:rPr>
        <w:t>2.2</w:t>
      </w:r>
      <w:r w:rsidRPr="00C41524">
        <w:rPr>
          <w:rFonts w:ascii="Palatino Linotype" w:eastAsia="Palatino Linotype" w:hAnsi="Palatino Linotype" w:cs="Palatino Linotype"/>
          <w:sz w:val="22"/>
          <w:szCs w:val="22"/>
        </w:rPr>
        <w:t xml:space="preserve"> per cent to </w:t>
      </w:r>
      <w:r>
        <w:rPr>
          <w:rFonts w:ascii="Times New Roman" w:eastAsia="Palatino Linotype" w:hAnsi="Times New Roman"/>
          <w:sz w:val="22"/>
          <w:szCs w:val="22"/>
        </w:rPr>
        <w:t>₹</w:t>
      </w:r>
      <w:r>
        <w:rPr>
          <w:rFonts w:ascii="Palatino Linotype" w:eastAsia="Palatino Linotype" w:hAnsi="Palatino Linotype" w:cs="Palatino Linotype"/>
          <w:sz w:val="22"/>
          <w:szCs w:val="22"/>
        </w:rPr>
        <w:t>866.5</w:t>
      </w:r>
      <w:r w:rsidRPr="00C41524">
        <w:rPr>
          <w:rFonts w:ascii="Palatino Linotype" w:eastAsia="Palatino Linotype" w:hAnsi="Palatino Linotype" w:cs="Palatino Linotype"/>
          <w:sz w:val="22"/>
          <w:szCs w:val="22"/>
        </w:rPr>
        <w:t xml:space="preserve"> lakh crore in </w:t>
      </w:r>
      <w:r>
        <w:rPr>
          <w:rFonts w:ascii="Palatino Linotype" w:eastAsia="Palatino Linotype" w:hAnsi="Palatino Linotype" w:cs="Palatino Linotype"/>
          <w:sz w:val="22"/>
          <w:szCs w:val="22"/>
        </w:rPr>
        <w:t>May</w:t>
      </w:r>
      <w:r w:rsidRPr="00C41524">
        <w:rPr>
          <w:rFonts w:ascii="Palatino Linotype" w:eastAsia="Palatino Linotype" w:hAnsi="Palatino Linotype" w:cs="Palatino Linotype"/>
          <w:sz w:val="22"/>
          <w:szCs w:val="22"/>
        </w:rPr>
        <w:t xml:space="preserve"> 2021 from </w:t>
      </w:r>
      <w:r>
        <w:rPr>
          <w:rFonts w:ascii="Times New Roman" w:eastAsia="Palatino Linotype" w:hAnsi="Times New Roman"/>
          <w:sz w:val="22"/>
          <w:szCs w:val="22"/>
        </w:rPr>
        <w:t>₹</w:t>
      </w:r>
      <w:r>
        <w:rPr>
          <w:rFonts w:ascii="Palatino Linotype" w:eastAsia="Palatino Linotype" w:hAnsi="Palatino Linotype" w:cs="Palatino Linotype"/>
          <w:sz w:val="22"/>
          <w:szCs w:val="22"/>
        </w:rPr>
        <w:t>886.4</w:t>
      </w:r>
      <w:r w:rsidRPr="00C41524">
        <w:rPr>
          <w:rFonts w:ascii="Palatino Linotype" w:eastAsia="Palatino Linotype" w:hAnsi="Palatino Linotype" w:cs="Palatino Linotype"/>
          <w:sz w:val="22"/>
          <w:szCs w:val="22"/>
        </w:rPr>
        <w:t xml:space="preserve"> lakh crore in </w:t>
      </w:r>
      <w:r>
        <w:rPr>
          <w:rFonts w:ascii="Palatino Linotype" w:eastAsia="Palatino Linotype" w:hAnsi="Palatino Linotype" w:cs="Palatino Linotype"/>
          <w:sz w:val="22"/>
          <w:szCs w:val="22"/>
        </w:rPr>
        <w:t>April</w:t>
      </w:r>
      <w:r w:rsidRPr="00C41524">
        <w:rPr>
          <w:rFonts w:ascii="Palatino Linotype" w:eastAsia="Palatino Linotype" w:hAnsi="Palatino Linotype" w:cs="Palatino Linotype"/>
          <w:sz w:val="22"/>
          <w:szCs w:val="22"/>
        </w:rPr>
        <w:t xml:space="preserve"> 2021. </w:t>
      </w:r>
    </w:p>
    <w:p w:rsidR="002F2984" w:rsidRPr="00D22F0B" w:rsidRDefault="002F2984" w:rsidP="002F2984">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C41524">
        <w:rPr>
          <w:rFonts w:ascii="Palatino Linotype" w:eastAsia="Palatino Linotype" w:hAnsi="Palatino Linotype" w:cs="Palatino Linotype"/>
          <w:sz w:val="22"/>
          <w:szCs w:val="22"/>
        </w:rPr>
        <w:t xml:space="preserve">During the above period, </w:t>
      </w:r>
    </w:p>
    <w:p w:rsidR="002F2984" w:rsidRPr="00E63EBA" w:rsidRDefault="002F2984" w:rsidP="002F2984">
      <w:pPr>
        <w:pBdr>
          <w:top w:val="nil"/>
          <w:left w:val="nil"/>
          <w:bottom w:val="nil"/>
          <w:right w:val="nil"/>
          <w:between w:val="nil"/>
        </w:pBdr>
        <w:spacing w:line="276" w:lineRule="auto"/>
        <w:ind w:left="709"/>
        <w:jc w:val="both"/>
        <w:rPr>
          <w:rFonts w:ascii="Palatino Linotype" w:eastAsia="Tahoma" w:hAnsi="Palatino Linotype"/>
          <w:sz w:val="22"/>
          <w:szCs w:val="22"/>
        </w:rPr>
      </w:pPr>
      <w:r w:rsidRPr="00E63EBA">
        <w:rPr>
          <w:rFonts w:ascii="Palatino Linotype" w:eastAsia="Tahoma" w:hAnsi="Palatino Linotype"/>
          <w:sz w:val="22"/>
          <w:szCs w:val="22"/>
        </w:rPr>
        <w:t xml:space="preserve">(i) the notional turnover of index options decreased by </w:t>
      </w:r>
      <w:r>
        <w:rPr>
          <w:rFonts w:ascii="Palatino Linotype" w:eastAsia="Tahoma" w:hAnsi="Palatino Linotype"/>
          <w:sz w:val="22"/>
          <w:szCs w:val="22"/>
        </w:rPr>
        <w:t>2.9</w:t>
      </w:r>
      <w:r w:rsidRPr="00E63EBA">
        <w:rPr>
          <w:rFonts w:ascii="Palatino Linotype" w:eastAsia="Tahoma" w:hAnsi="Palatino Linotype"/>
          <w:sz w:val="22"/>
          <w:szCs w:val="22"/>
        </w:rPr>
        <w:t xml:space="preserve"> per cent to </w:t>
      </w:r>
      <w:r>
        <w:rPr>
          <w:rFonts w:ascii="Times New Roman" w:eastAsia="Tahoma" w:hAnsi="Times New Roman"/>
          <w:sz w:val="22"/>
          <w:szCs w:val="22"/>
        </w:rPr>
        <w:t>₹</w:t>
      </w:r>
      <w:r>
        <w:rPr>
          <w:rFonts w:ascii="Palatino Linotype" w:eastAsia="Tahoma" w:hAnsi="Palatino Linotype"/>
          <w:sz w:val="22"/>
          <w:szCs w:val="22"/>
        </w:rPr>
        <w:t>806.6</w:t>
      </w:r>
      <w:r w:rsidRPr="00E63EBA">
        <w:rPr>
          <w:rFonts w:ascii="Palatino Linotype" w:eastAsia="Tahoma" w:hAnsi="Palatino Linotype"/>
          <w:sz w:val="22"/>
          <w:szCs w:val="22"/>
        </w:rPr>
        <w:t xml:space="preserve"> lakh crore, and accounted for 9</w:t>
      </w:r>
      <w:r>
        <w:rPr>
          <w:rFonts w:ascii="Palatino Linotype" w:eastAsia="Tahoma" w:hAnsi="Palatino Linotype"/>
          <w:sz w:val="22"/>
          <w:szCs w:val="22"/>
        </w:rPr>
        <w:t>3.1</w:t>
      </w:r>
      <w:r w:rsidRPr="00E63EBA">
        <w:rPr>
          <w:rFonts w:ascii="Palatino Linotype" w:eastAsia="Tahoma" w:hAnsi="Palatino Linotype"/>
          <w:sz w:val="22"/>
          <w:szCs w:val="22"/>
        </w:rPr>
        <w:t xml:space="preserve"> per cent of the total equity </w:t>
      </w:r>
      <w:r w:rsidRPr="00C41524">
        <w:rPr>
          <w:rFonts w:ascii="Palatino Linotype" w:eastAsia="Tahoma" w:hAnsi="Palatino Linotype"/>
          <w:sz w:val="22"/>
          <w:szCs w:val="22"/>
        </w:rPr>
        <w:t xml:space="preserve">derivatives turnover of NSE; </w:t>
      </w:r>
    </w:p>
    <w:p w:rsidR="002F2984" w:rsidRDefault="002F2984" w:rsidP="002F2984">
      <w:pPr>
        <w:pBdr>
          <w:top w:val="nil"/>
          <w:left w:val="nil"/>
          <w:bottom w:val="nil"/>
          <w:right w:val="nil"/>
          <w:between w:val="nil"/>
        </w:pBdr>
        <w:spacing w:line="276" w:lineRule="auto"/>
        <w:ind w:left="709"/>
        <w:jc w:val="both"/>
        <w:rPr>
          <w:rFonts w:ascii="Palatino Linotype" w:eastAsia="Tahoma" w:hAnsi="Palatino Linotype"/>
          <w:sz w:val="22"/>
          <w:szCs w:val="22"/>
        </w:rPr>
      </w:pPr>
      <w:r w:rsidRPr="00C41524">
        <w:rPr>
          <w:rFonts w:ascii="Palatino Linotype" w:eastAsia="Tahoma" w:hAnsi="Palatino Linotype"/>
          <w:sz w:val="22"/>
          <w:szCs w:val="22"/>
        </w:rPr>
        <w:t>(ii) the noti</w:t>
      </w:r>
      <w:r>
        <w:rPr>
          <w:rFonts w:ascii="Palatino Linotype" w:eastAsia="Tahoma" w:hAnsi="Palatino Linotype"/>
          <w:sz w:val="22"/>
          <w:szCs w:val="22"/>
        </w:rPr>
        <w:t>onal turnover of stock options in</w:t>
      </w:r>
      <w:r w:rsidRPr="00C41524">
        <w:rPr>
          <w:rFonts w:ascii="Palatino Linotype" w:eastAsia="Tahoma" w:hAnsi="Palatino Linotype"/>
          <w:sz w:val="22"/>
          <w:szCs w:val="22"/>
        </w:rPr>
        <w:t xml:space="preserve">creased by </w:t>
      </w:r>
      <w:r>
        <w:rPr>
          <w:rFonts w:ascii="Palatino Linotype" w:eastAsia="Tahoma" w:hAnsi="Palatino Linotype"/>
          <w:sz w:val="22"/>
          <w:szCs w:val="22"/>
        </w:rPr>
        <w:t>10.7</w:t>
      </w:r>
      <w:r w:rsidRPr="00C41524">
        <w:rPr>
          <w:rFonts w:ascii="Palatino Linotype" w:eastAsia="Tahoma" w:hAnsi="Palatino Linotype"/>
          <w:sz w:val="22"/>
          <w:szCs w:val="22"/>
        </w:rPr>
        <w:t xml:space="preserve"> per cent to </w:t>
      </w:r>
      <w:r>
        <w:rPr>
          <w:rFonts w:ascii="Times New Roman" w:eastAsia="Tahoma" w:hAnsi="Times New Roman"/>
          <w:sz w:val="22"/>
          <w:szCs w:val="22"/>
        </w:rPr>
        <w:t>₹</w:t>
      </w:r>
      <w:r>
        <w:rPr>
          <w:rFonts w:ascii="Palatino Linotype" w:eastAsia="Tahoma" w:hAnsi="Palatino Linotype"/>
          <w:sz w:val="22"/>
          <w:szCs w:val="22"/>
        </w:rPr>
        <w:t>36</w:t>
      </w:r>
      <w:r w:rsidRPr="00C41524">
        <w:rPr>
          <w:rFonts w:ascii="Palatino Linotype" w:eastAsia="Tahoma" w:hAnsi="Palatino Linotype"/>
          <w:sz w:val="22"/>
          <w:szCs w:val="22"/>
        </w:rPr>
        <w:t xml:space="preserve"> lakh crore; </w:t>
      </w:r>
    </w:p>
    <w:p w:rsidR="002F2984" w:rsidRDefault="002F2984" w:rsidP="002F2984">
      <w:pPr>
        <w:pBdr>
          <w:top w:val="nil"/>
          <w:left w:val="nil"/>
          <w:bottom w:val="nil"/>
          <w:right w:val="nil"/>
          <w:between w:val="nil"/>
        </w:pBdr>
        <w:spacing w:line="276" w:lineRule="auto"/>
        <w:ind w:left="709"/>
        <w:jc w:val="both"/>
        <w:rPr>
          <w:rFonts w:ascii="Palatino Linotype" w:eastAsia="Tahoma" w:hAnsi="Palatino Linotype"/>
          <w:sz w:val="22"/>
          <w:szCs w:val="22"/>
        </w:rPr>
      </w:pPr>
      <w:r w:rsidRPr="00C41524">
        <w:rPr>
          <w:rFonts w:ascii="Palatino Linotype" w:eastAsia="Tahoma" w:hAnsi="Palatino Linotype"/>
          <w:sz w:val="22"/>
          <w:szCs w:val="22"/>
        </w:rPr>
        <w:t>(iii) the notio</w:t>
      </w:r>
      <w:r>
        <w:rPr>
          <w:rFonts w:ascii="Palatino Linotype" w:eastAsia="Tahoma" w:hAnsi="Palatino Linotype"/>
          <w:sz w:val="22"/>
          <w:szCs w:val="22"/>
        </w:rPr>
        <w:t>nal turnover of index futures de</w:t>
      </w:r>
      <w:r w:rsidRPr="00C41524">
        <w:rPr>
          <w:rFonts w:ascii="Palatino Linotype" w:eastAsia="Tahoma" w:hAnsi="Palatino Linotype"/>
          <w:sz w:val="22"/>
          <w:szCs w:val="22"/>
        </w:rPr>
        <w:t xml:space="preserve">creased by </w:t>
      </w:r>
      <w:r>
        <w:rPr>
          <w:rFonts w:ascii="Palatino Linotype" w:eastAsia="Tahoma" w:hAnsi="Palatino Linotype"/>
          <w:sz w:val="22"/>
          <w:szCs w:val="22"/>
        </w:rPr>
        <w:t xml:space="preserve">15.5 </w:t>
      </w:r>
      <w:r w:rsidRPr="00C41524">
        <w:rPr>
          <w:rFonts w:ascii="Palatino Linotype" w:eastAsia="Tahoma" w:hAnsi="Palatino Linotype"/>
          <w:sz w:val="22"/>
          <w:szCs w:val="22"/>
        </w:rPr>
        <w:t xml:space="preserve">per cent to </w:t>
      </w:r>
      <w:r>
        <w:rPr>
          <w:rFonts w:ascii="Times New Roman" w:eastAsia="Tahoma" w:hAnsi="Times New Roman"/>
          <w:sz w:val="22"/>
          <w:szCs w:val="22"/>
        </w:rPr>
        <w:t>₹</w:t>
      </w:r>
      <w:r>
        <w:rPr>
          <w:rFonts w:ascii="Palatino Linotype" w:eastAsia="Tahoma" w:hAnsi="Palatino Linotype"/>
          <w:sz w:val="22"/>
          <w:szCs w:val="22"/>
        </w:rPr>
        <w:t xml:space="preserve">6.1 </w:t>
      </w:r>
      <w:r w:rsidRPr="00C41524">
        <w:rPr>
          <w:rFonts w:ascii="Palatino Linotype" w:eastAsia="Tahoma" w:hAnsi="Palatino Linotype"/>
          <w:sz w:val="22"/>
          <w:szCs w:val="22"/>
        </w:rPr>
        <w:t xml:space="preserve">lakh crore; and </w:t>
      </w:r>
    </w:p>
    <w:p w:rsidR="002F2984" w:rsidRPr="00C41524" w:rsidRDefault="002F2984" w:rsidP="002F2984">
      <w:pPr>
        <w:pBdr>
          <w:top w:val="nil"/>
          <w:left w:val="nil"/>
          <w:bottom w:val="nil"/>
          <w:right w:val="nil"/>
          <w:between w:val="nil"/>
        </w:pBdr>
        <w:spacing w:line="276" w:lineRule="auto"/>
        <w:ind w:left="709"/>
        <w:jc w:val="both"/>
        <w:rPr>
          <w:rFonts w:ascii="Palatino Linotype" w:eastAsia="Tahoma" w:hAnsi="Palatino Linotype"/>
          <w:sz w:val="22"/>
          <w:szCs w:val="22"/>
        </w:rPr>
      </w:pPr>
      <w:r w:rsidRPr="00C41524">
        <w:rPr>
          <w:rFonts w:ascii="Palatino Linotype" w:eastAsia="Tahoma" w:hAnsi="Palatino Linotype"/>
          <w:sz w:val="22"/>
          <w:szCs w:val="22"/>
        </w:rPr>
        <w:t xml:space="preserve">(iv) the notional turnover of stock futures </w:t>
      </w:r>
      <w:r>
        <w:rPr>
          <w:rFonts w:ascii="Palatino Linotype" w:eastAsia="Tahoma" w:hAnsi="Palatino Linotype"/>
          <w:sz w:val="22"/>
          <w:szCs w:val="22"/>
        </w:rPr>
        <w:t>in</w:t>
      </w:r>
      <w:r w:rsidRPr="00C41524">
        <w:rPr>
          <w:rFonts w:ascii="Palatino Linotype" w:eastAsia="Tahoma" w:hAnsi="Palatino Linotype"/>
          <w:sz w:val="22"/>
          <w:szCs w:val="22"/>
        </w:rPr>
        <w:t xml:space="preserve">creased by </w:t>
      </w:r>
      <w:r>
        <w:rPr>
          <w:rFonts w:ascii="Palatino Linotype" w:eastAsia="Tahoma" w:hAnsi="Palatino Linotype"/>
          <w:sz w:val="22"/>
          <w:szCs w:val="22"/>
        </w:rPr>
        <w:t>9.7</w:t>
      </w:r>
      <w:r w:rsidRPr="00C41524">
        <w:rPr>
          <w:rFonts w:ascii="Palatino Linotype" w:eastAsia="Tahoma" w:hAnsi="Palatino Linotype"/>
          <w:sz w:val="22"/>
          <w:szCs w:val="22"/>
        </w:rPr>
        <w:t xml:space="preserve"> per cent to </w:t>
      </w:r>
      <w:r>
        <w:rPr>
          <w:rFonts w:ascii="Times New Roman" w:eastAsia="Tahoma" w:hAnsi="Times New Roman"/>
          <w:sz w:val="22"/>
          <w:szCs w:val="22"/>
        </w:rPr>
        <w:t>₹</w:t>
      </w:r>
      <w:r>
        <w:rPr>
          <w:rFonts w:ascii="Palatino Linotype" w:eastAsia="Tahoma" w:hAnsi="Palatino Linotype"/>
          <w:sz w:val="22"/>
          <w:szCs w:val="22"/>
        </w:rPr>
        <w:t>17.3</w:t>
      </w:r>
      <w:r w:rsidRPr="00C41524">
        <w:rPr>
          <w:rFonts w:ascii="Palatino Linotype" w:eastAsia="Tahoma" w:hAnsi="Palatino Linotype"/>
          <w:sz w:val="22"/>
          <w:szCs w:val="22"/>
        </w:rPr>
        <w:t xml:space="preserve"> lakh crore </w:t>
      </w:r>
    </w:p>
    <w:p w:rsidR="002F2984" w:rsidRPr="00C41524"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C41524">
        <w:rPr>
          <w:rFonts w:ascii="Palatino Linotype" w:eastAsia="Palatino Linotype" w:hAnsi="Palatino Linotype" w:cs="Palatino Linotype"/>
          <w:sz w:val="22"/>
          <w:szCs w:val="22"/>
        </w:rPr>
        <w:t xml:space="preserve">As at end of </w:t>
      </w:r>
      <w:r>
        <w:rPr>
          <w:rFonts w:ascii="Palatino Linotype" w:eastAsia="Palatino Linotype" w:hAnsi="Palatino Linotype" w:cs="Palatino Linotype"/>
          <w:sz w:val="22"/>
          <w:szCs w:val="22"/>
        </w:rPr>
        <w:t>May</w:t>
      </w:r>
      <w:r w:rsidRPr="00C41524">
        <w:rPr>
          <w:rFonts w:ascii="Palatino Linotype" w:eastAsia="Palatino Linotype" w:hAnsi="Palatino Linotype" w:cs="Palatino Linotype"/>
          <w:sz w:val="22"/>
          <w:szCs w:val="22"/>
        </w:rPr>
        <w:t xml:space="preserve"> 2021, the open interest in terms of value at NSE stood at </w:t>
      </w:r>
      <w:r>
        <w:rPr>
          <w:rFonts w:ascii="Times New Roman" w:eastAsia="Palatino Linotype" w:hAnsi="Times New Roman"/>
          <w:sz w:val="22"/>
          <w:szCs w:val="22"/>
        </w:rPr>
        <w:t>₹</w:t>
      </w:r>
      <w:r>
        <w:rPr>
          <w:rFonts w:ascii="Palatino Linotype" w:eastAsia="Palatino Linotype" w:hAnsi="Palatino Linotype" w:cs="Palatino Linotype"/>
          <w:sz w:val="22"/>
          <w:szCs w:val="22"/>
        </w:rPr>
        <w:t>6,10,233</w:t>
      </w:r>
      <w:r w:rsidRPr="0089123B">
        <w:rPr>
          <w:rFonts w:ascii="Palatino Linotype" w:eastAsia="Palatino Linotype" w:hAnsi="Palatino Linotype" w:cs="Palatino Linotype"/>
          <w:sz w:val="22"/>
          <w:szCs w:val="22"/>
        </w:rPr>
        <w:t xml:space="preserve"> </w:t>
      </w:r>
      <w:r w:rsidRPr="00C41524">
        <w:rPr>
          <w:rFonts w:ascii="Palatino Linotype" w:eastAsia="Palatino Linotype" w:hAnsi="Palatino Linotype" w:cs="Palatino Linotype"/>
          <w:sz w:val="22"/>
          <w:szCs w:val="22"/>
        </w:rPr>
        <w:t xml:space="preserve">crore compared to </w:t>
      </w:r>
      <w:r>
        <w:rPr>
          <w:rFonts w:ascii="Times New Roman" w:eastAsia="Palatino Linotype" w:hAnsi="Times New Roman"/>
          <w:sz w:val="22"/>
          <w:szCs w:val="22"/>
        </w:rPr>
        <w:t>₹</w:t>
      </w:r>
      <w:r w:rsidRPr="0089123B">
        <w:rPr>
          <w:rFonts w:ascii="Palatino Linotype" w:eastAsia="Palatino Linotype" w:hAnsi="Palatino Linotype" w:cs="Palatino Linotype"/>
          <w:sz w:val="22"/>
          <w:szCs w:val="22"/>
        </w:rPr>
        <w:t xml:space="preserve">4,52,490 crore </w:t>
      </w:r>
      <w:r w:rsidRPr="00C41524">
        <w:rPr>
          <w:rFonts w:ascii="Palatino Linotype" w:eastAsia="Palatino Linotype" w:hAnsi="Palatino Linotype" w:cs="Palatino Linotype"/>
          <w:sz w:val="22"/>
          <w:szCs w:val="22"/>
        </w:rPr>
        <w:t xml:space="preserve">in </w:t>
      </w:r>
      <w:r>
        <w:rPr>
          <w:rFonts w:ascii="Palatino Linotype" w:eastAsia="Palatino Linotype" w:hAnsi="Palatino Linotype" w:cs="Palatino Linotype"/>
          <w:sz w:val="22"/>
          <w:szCs w:val="22"/>
        </w:rPr>
        <w:t>April 2021</w:t>
      </w:r>
      <w:r w:rsidRPr="00C41524">
        <w:rPr>
          <w:rFonts w:ascii="Palatino Linotype" w:eastAsia="Palatino Linotype" w:hAnsi="Palatino Linotype" w:cs="Palatino Linotype"/>
          <w:sz w:val="22"/>
          <w:szCs w:val="22"/>
        </w:rPr>
        <w:t>.</w:t>
      </w:r>
    </w:p>
    <w:p w:rsidR="002F2984" w:rsidRPr="002357A9" w:rsidRDefault="002F2984" w:rsidP="002F2984">
      <w:pPr>
        <w:pBdr>
          <w:top w:val="nil"/>
          <w:left w:val="nil"/>
          <w:bottom w:val="nil"/>
          <w:right w:val="nil"/>
          <w:between w:val="nil"/>
        </w:pBdr>
        <w:jc w:val="center"/>
        <w:rPr>
          <w:rFonts w:ascii="Palatino Linotype" w:eastAsia="Palatino Linotype" w:hAnsi="Palatino Linotype" w:cs="Palatino Linotype"/>
          <w:b/>
          <w:sz w:val="22"/>
          <w:szCs w:val="22"/>
          <w:highlight w:val="yellow"/>
        </w:rPr>
      </w:pPr>
    </w:p>
    <w:p w:rsidR="002F2984" w:rsidRPr="002357A9" w:rsidRDefault="002F2984" w:rsidP="002F2984">
      <w:pPr>
        <w:pBdr>
          <w:top w:val="nil"/>
          <w:left w:val="nil"/>
          <w:bottom w:val="nil"/>
          <w:right w:val="nil"/>
          <w:between w:val="nil"/>
        </w:pBd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w:t>
      </w:r>
      <w:r w:rsidRPr="002357A9">
        <w:rPr>
          <w:rFonts w:ascii="Palatino Linotype" w:eastAsia="Palatino Linotype" w:hAnsi="Palatino Linotype" w:cs="Palatino Linotype"/>
          <w:b/>
          <w:sz w:val="22"/>
          <w:szCs w:val="22"/>
        </w:rPr>
        <w:t>Figure 6: Trends of Average Daily Notional Turnover at BSE and NSE (</w:t>
      </w:r>
      <w:r>
        <w:rPr>
          <w:rFonts w:ascii="Arial" w:eastAsia="Palatino Linotype" w:hAnsi="Arial" w:cs="Arial"/>
          <w:b/>
          <w:sz w:val="20"/>
          <w:szCs w:val="22"/>
        </w:rPr>
        <w:t>₹</w:t>
      </w:r>
      <w:r w:rsidRPr="002357A9">
        <w:rPr>
          <w:rFonts w:ascii="Palatino Linotype" w:eastAsia="Palatino Linotype" w:hAnsi="Palatino Linotype" w:cs="Palatino Linotype"/>
          <w:b/>
          <w:sz w:val="22"/>
          <w:szCs w:val="22"/>
        </w:rPr>
        <w:t xml:space="preserve"> crore)</w:t>
      </w:r>
    </w:p>
    <w:p w:rsidR="002F2984" w:rsidRPr="002357A9" w:rsidRDefault="002F2984" w:rsidP="002F2984">
      <w:pPr>
        <w:pBdr>
          <w:top w:val="nil"/>
          <w:left w:val="nil"/>
          <w:bottom w:val="nil"/>
          <w:right w:val="nil"/>
          <w:between w:val="nil"/>
        </w:pBdr>
        <w:jc w:val="center"/>
        <w:rPr>
          <w:rFonts w:ascii="Palatino Linotype" w:eastAsia="Palatino Linotype" w:hAnsi="Palatino Linotype" w:cs="Palatino Linotype"/>
          <w:b/>
          <w:color w:val="2E74B5"/>
          <w:sz w:val="22"/>
          <w:szCs w:val="22"/>
        </w:rPr>
      </w:pPr>
      <w:r w:rsidRPr="009316A0">
        <w:rPr>
          <w:noProof/>
          <w:lang w:val="en-IN" w:eastAsia="en-IN" w:bidi="hi-IN"/>
        </w:rPr>
        <w:drawing>
          <wp:inline distT="0" distB="0" distL="0" distR="0">
            <wp:extent cx="5308600" cy="2940685"/>
            <wp:effectExtent l="0" t="0" r="6350" b="1206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Palatino Linotype" w:eastAsia="Palatino Linotype" w:hAnsi="Palatino Linotype" w:cs="Palatino Linotype"/>
          <w:b/>
          <w:color w:val="2E74B5"/>
          <w:sz w:val="22"/>
          <w:szCs w:val="22"/>
        </w:rPr>
        <w:t>m</w:t>
      </w:r>
    </w:p>
    <w:p w:rsidR="002F2984" w:rsidRPr="00C41524" w:rsidRDefault="002F2984" w:rsidP="002F2984">
      <w:pPr>
        <w:spacing w:line="276" w:lineRule="auto"/>
        <w:rPr>
          <w:rFonts w:ascii="Palatino Linotype" w:eastAsia="Palatino Linotype" w:hAnsi="Palatino Linotype" w:cs="Palatino Linotype"/>
          <w:b/>
          <w:sz w:val="18"/>
          <w:szCs w:val="18"/>
        </w:rPr>
      </w:pPr>
      <w:r w:rsidRPr="00C41524">
        <w:rPr>
          <w:rFonts w:ascii="Palatino Linotype" w:eastAsia="Palatino Linotype" w:hAnsi="Palatino Linotype" w:cs="Palatino Linotype"/>
          <w:b/>
          <w:sz w:val="18"/>
          <w:szCs w:val="18"/>
        </w:rPr>
        <w:t xml:space="preserve">    Note: AD</w:t>
      </w:r>
      <w:r>
        <w:rPr>
          <w:rFonts w:ascii="Palatino Linotype" w:eastAsia="Palatino Linotype" w:hAnsi="Palatino Linotype" w:cs="Palatino Linotype"/>
          <w:b/>
          <w:sz w:val="18"/>
          <w:szCs w:val="18"/>
        </w:rPr>
        <w:t>NT</w:t>
      </w:r>
      <w:r w:rsidRPr="00C41524">
        <w:rPr>
          <w:rFonts w:ascii="Palatino Linotype" w:eastAsia="Palatino Linotype" w:hAnsi="Palatino Linotype" w:cs="Palatino Linotype"/>
          <w:b/>
          <w:sz w:val="18"/>
          <w:szCs w:val="18"/>
        </w:rPr>
        <w:t xml:space="preserve"> implies Average Daily </w:t>
      </w:r>
      <w:r>
        <w:rPr>
          <w:rFonts w:ascii="Palatino Linotype" w:eastAsia="Palatino Linotype" w:hAnsi="Palatino Linotype" w:cs="Palatino Linotype"/>
          <w:b/>
          <w:sz w:val="18"/>
          <w:szCs w:val="18"/>
        </w:rPr>
        <w:t>Notional</w:t>
      </w:r>
      <w:r w:rsidRPr="00C41524">
        <w:rPr>
          <w:rFonts w:ascii="Palatino Linotype" w:eastAsia="Palatino Linotype" w:hAnsi="Palatino Linotype" w:cs="Palatino Linotype"/>
          <w:b/>
          <w:sz w:val="18"/>
          <w:szCs w:val="18"/>
        </w:rPr>
        <w:t xml:space="preserve"> Turnover</w:t>
      </w:r>
    </w:p>
    <w:p w:rsidR="002F2984" w:rsidRPr="00C41524" w:rsidRDefault="002F2984" w:rsidP="002F2984">
      <w:pPr>
        <w:spacing w:line="276" w:lineRule="auto"/>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Source: BSE and NSE</w:t>
      </w:r>
    </w:p>
    <w:p w:rsidR="002F2984" w:rsidRPr="002357A9" w:rsidRDefault="002F2984" w:rsidP="002F2984">
      <w:pPr>
        <w:pBdr>
          <w:top w:val="nil"/>
          <w:left w:val="nil"/>
          <w:bottom w:val="nil"/>
          <w:right w:val="nil"/>
          <w:between w:val="nil"/>
        </w:pBdr>
        <w:jc w:val="center"/>
        <w:rPr>
          <w:rFonts w:ascii="Palatino Linotype" w:eastAsia="Palatino Linotype" w:hAnsi="Palatino Linotype" w:cs="Palatino Linotype"/>
          <w:b/>
          <w:color w:val="2E74B5"/>
          <w:sz w:val="22"/>
          <w:szCs w:val="22"/>
        </w:rPr>
      </w:pPr>
    </w:p>
    <w:p w:rsidR="002F2984" w:rsidRPr="00C41524" w:rsidRDefault="002F2984" w:rsidP="002F2984">
      <w:pPr>
        <w:pBdr>
          <w:top w:val="nil"/>
          <w:left w:val="nil"/>
          <w:bottom w:val="nil"/>
          <w:right w:val="nil"/>
          <w:between w:val="nil"/>
        </w:pBdr>
        <w:jc w:val="center"/>
        <w:rPr>
          <w:rFonts w:ascii="Palatino Linotype" w:eastAsia="Palatino Linotype" w:hAnsi="Palatino Linotype" w:cs="Palatino Linotype"/>
          <w:b/>
          <w:color w:val="2E74B5"/>
          <w:sz w:val="22"/>
          <w:szCs w:val="22"/>
        </w:rPr>
      </w:pPr>
    </w:p>
    <w:p w:rsidR="002F2984" w:rsidRPr="00C7694C"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C7694C">
        <w:rPr>
          <w:rFonts w:ascii="Palatino Linotype" w:eastAsia="Palatino Linotype" w:hAnsi="Palatino Linotype" w:cs="Palatino Linotype"/>
          <w:sz w:val="22"/>
          <w:szCs w:val="22"/>
        </w:rPr>
        <w:t xml:space="preserve">During May 2021, the percentage share of weekly options (BSE and NSE together) to the total index options notional turnover (BSE and NSE together) stood at 73.6 per cent compared to 75.3 per cent in April 2021. The percentage share of monthly options for both the exchanges to total index options notional turnover increased to 25.9 per cent in May 2021 from 24.3 per cent in April 2021.  </w:t>
      </w:r>
    </w:p>
    <w:p w:rsidR="002F2984" w:rsidRDefault="002F2984" w:rsidP="002F2984">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2F2984" w:rsidRDefault="002F2984" w:rsidP="002F2984">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2F2984" w:rsidRDefault="002F2984" w:rsidP="002F2984">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2F2984" w:rsidRPr="002357A9" w:rsidRDefault="002F2984" w:rsidP="002F2984">
      <w:pPr>
        <w:jc w:val="center"/>
        <w:rPr>
          <w:rFonts w:ascii="Palatino Linotype" w:eastAsia="Palatino Linotype" w:hAnsi="Palatino Linotype" w:cs="Palatino Linotype"/>
          <w:b/>
          <w:sz w:val="22"/>
          <w:szCs w:val="22"/>
        </w:rPr>
      </w:pPr>
      <w:r w:rsidRPr="00C7694C">
        <w:rPr>
          <w:rFonts w:ascii="Palatino Linotype" w:eastAsia="Palatino Linotype" w:hAnsi="Palatino Linotype" w:cs="Palatino Linotype"/>
          <w:b/>
          <w:sz w:val="22"/>
          <w:szCs w:val="22"/>
        </w:rPr>
        <w:t>Figure 7: Maturity-wise percentage Share of Total Index Options Turnover (per cent)</w:t>
      </w:r>
    </w:p>
    <w:p w:rsidR="002F2984" w:rsidRPr="002357A9" w:rsidRDefault="002F2984" w:rsidP="002F2984">
      <w:pPr>
        <w:spacing w:line="276" w:lineRule="auto"/>
        <w:jc w:val="center"/>
        <w:rPr>
          <w:rFonts w:ascii="Palatino Linotype" w:eastAsia="Palatino Linotype" w:hAnsi="Palatino Linotype" w:cs="Palatino Linotype"/>
          <w:b/>
          <w:sz w:val="22"/>
          <w:szCs w:val="22"/>
          <w:highlight w:val="yellow"/>
        </w:rPr>
      </w:pPr>
      <w:r w:rsidRPr="009316A0">
        <w:rPr>
          <w:noProof/>
          <w:lang w:val="en-IN" w:eastAsia="en-IN" w:bidi="hi-IN"/>
        </w:rPr>
        <w:drawing>
          <wp:inline distT="0" distB="0" distL="0" distR="0">
            <wp:extent cx="5287645" cy="2743200"/>
            <wp:effectExtent l="0" t="0" r="8255"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2984" w:rsidRDefault="002F2984" w:rsidP="002F2984">
      <w:pPr>
        <w:spacing w:line="276" w:lineRule="auto"/>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Source: BSE and NSE</w:t>
      </w:r>
    </w:p>
    <w:p w:rsidR="002F2984" w:rsidRPr="00C41524" w:rsidRDefault="002F2984" w:rsidP="002F2984">
      <w:pPr>
        <w:spacing w:line="276" w:lineRule="auto"/>
        <w:rPr>
          <w:rFonts w:ascii="Palatino Linotype" w:eastAsia="Palatino Linotype" w:hAnsi="Palatino Linotype" w:cs="Palatino Linotype"/>
          <w:b/>
          <w:sz w:val="18"/>
          <w:szCs w:val="18"/>
        </w:rPr>
      </w:pPr>
    </w:p>
    <w:p w:rsidR="002F2984" w:rsidRPr="002357A9" w:rsidRDefault="002F2984" w:rsidP="002F2984">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 xml:space="preserve">Currency Derivatives </w:t>
      </w:r>
    </w:p>
    <w:p w:rsidR="002F2984" w:rsidRPr="00C41524"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C41524">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May</w:t>
      </w:r>
      <w:r w:rsidRPr="00C41524">
        <w:rPr>
          <w:rFonts w:ascii="Palatino Linotype" w:eastAsia="Palatino Linotype" w:hAnsi="Palatino Linotype" w:cs="Palatino Linotype"/>
          <w:sz w:val="22"/>
          <w:szCs w:val="22"/>
        </w:rPr>
        <w:t xml:space="preserve"> 2021, the monthly notional turnover of currency derivatives in India (NSE, BSE and MSEI together) stood at </w:t>
      </w:r>
      <w:r>
        <w:rPr>
          <w:rFonts w:ascii="Times New Roman" w:eastAsia="Palatino Linotype" w:hAnsi="Times New Roman"/>
          <w:sz w:val="22"/>
          <w:szCs w:val="22"/>
        </w:rPr>
        <w:t>₹</w:t>
      </w:r>
      <w:r w:rsidRPr="00D8526D">
        <w:rPr>
          <w:rFonts w:ascii="Palatino Linotype" w:eastAsia="Palatino Linotype" w:hAnsi="Palatino Linotype" w:cs="Palatino Linotype"/>
          <w:sz w:val="22"/>
          <w:szCs w:val="22"/>
        </w:rPr>
        <w:t>1</w:t>
      </w:r>
      <w:r>
        <w:rPr>
          <w:rFonts w:ascii="Palatino Linotype" w:eastAsia="Palatino Linotype" w:hAnsi="Palatino Linotype" w:cs="Palatino Linotype"/>
          <w:sz w:val="22"/>
          <w:szCs w:val="22"/>
        </w:rPr>
        <w:t xml:space="preserve">5,35,931 </w:t>
      </w:r>
      <w:r w:rsidRPr="00C41524">
        <w:rPr>
          <w:rFonts w:ascii="Palatino Linotype" w:eastAsia="Palatino Linotype" w:hAnsi="Palatino Linotype" w:cs="Palatino Linotype"/>
          <w:sz w:val="22"/>
          <w:szCs w:val="22"/>
        </w:rPr>
        <w:t xml:space="preserve">crore as compared to </w:t>
      </w:r>
      <w:r>
        <w:rPr>
          <w:rFonts w:ascii="Times New Roman" w:eastAsia="Palatino Linotype" w:hAnsi="Times New Roman"/>
          <w:sz w:val="22"/>
          <w:szCs w:val="22"/>
        </w:rPr>
        <w:t>₹</w:t>
      </w:r>
      <w:r w:rsidRPr="00D8526D">
        <w:rPr>
          <w:rFonts w:ascii="Palatino Linotype" w:eastAsia="Palatino Linotype" w:hAnsi="Palatino Linotype" w:cs="Palatino Linotype"/>
          <w:sz w:val="22"/>
          <w:szCs w:val="22"/>
        </w:rPr>
        <w:t>19,48,899</w:t>
      </w:r>
      <w:r>
        <w:rPr>
          <w:rFonts w:ascii="Palatino Linotype" w:eastAsia="Palatino Linotype" w:hAnsi="Palatino Linotype" w:cs="Palatino Linotype"/>
          <w:sz w:val="22"/>
          <w:szCs w:val="22"/>
        </w:rPr>
        <w:t xml:space="preserve"> </w:t>
      </w:r>
      <w:r w:rsidRPr="00C41524">
        <w:rPr>
          <w:rFonts w:ascii="Palatino Linotype" w:eastAsia="Palatino Linotype" w:hAnsi="Palatino Linotype" w:cs="Palatino Linotype"/>
          <w:sz w:val="22"/>
          <w:szCs w:val="22"/>
        </w:rPr>
        <w:t xml:space="preserve">crore in </w:t>
      </w:r>
      <w:r>
        <w:rPr>
          <w:rFonts w:ascii="Palatino Linotype" w:eastAsia="Palatino Linotype" w:hAnsi="Palatino Linotype" w:cs="Palatino Linotype"/>
          <w:sz w:val="22"/>
          <w:szCs w:val="22"/>
        </w:rPr>
        <w:t>April</w:t>
      </w:r>
      <w:r w:rsidRPr="00C41524">
        <w:rPr>
          <w:rFonts w:ascii="Palatino Linotype" w:eastAsia="Palatino Linotype" w:hAnsi="Palatino Linotype" w:cs="Palatino Linotype"/>
          <w:sz w:val="22"/>
          <w:szCs w:val="22"/>
        </w:rPr>
        <w:t xml:space="preserve"> 202</w:t>
      </w:r>
      <w:r>
        <w:rPr>
          <w:rFonts w:ascii="Palatino Linotype" w:eastAsia="Palatino Linotype" w:hAnsi="Palatino Linotype" w:cs="Palatino Linotype"/>
          <w:sz w:val="22"/>
          <w:szCs w:val="22"/>
        </w:rPr>
        <w:t>1</w:t>
      </w:r>
      <w:r w:rsidRPr="00C41524">
        <w:rPr>
          <w:rFonts w:ascii="Palatino Linotype" w:eastAsia="Palatino Linotype" w:hAnsi="Palatino Linotype" w:cs="Palatino Linotype"/>
          <w:sz w:val="22"/>
          <w:szCs w:val="22"/>
        </w:rPr>
        <w:t xml:space="preserve">, registering a </w:t>
      </w:r>
      <w:r>
        <w:rPr>
          <w:rFonts w:ascii="Palatino Linotype" w:eastAsia="Palatino Linotype" w:hAnsi="Palatino Linotype" w:cs="Palatino Linotype"/>
          <w:sz w:val="22"/>
          <w:szCs w:val="22"/>
        </w:rPr>
        <w:t>de</w:t>
      </w:r>
      <w:r w:rsidRPr="00C41524">
        <w:rPr>
          <w:rFonts w:ascii="Palatino Linotype" w:eastAsia="Palatino Linotype" w:hAnsi="Palatino Linotype" w:cs="Palatino Linotype"/>
          <w:sz w:val="22"/>
          <w:szCs w:val="22"/>
        </w:rPr>
        <w:t xml:space="preserve">crease of </w:t>
      </w:r>
      <w:r>
        <w:rPr>
          <w:rFonts w:ascii="Palatino Linotype" w:eastAsia="Palatino Linotype" w:hAnsi="Palatino Linotype" w:cs="Palatino Linotype"/>
          <w:sz w:val="22"/>
          <w:szCs w:val="22"/>
        </w:rPr>
        <w:t>21.2</w:t>
      </w:r>
      <w:r w:rsidRPr="00C41524">
        <w:rPr>
          <w:rFonts w:ascii="Palatino Linotype" w:eastAsia="Palatino Linotype" w:hAnsi="Palatino Linotype" w:cs="Palatino Linotype"/>
          <w:sz w:val="22"/>
          <w:szCs w:val="22"/>
        </w:rPr>
        <w:t xml:space="preserve"> per cent.</w:t>
      </w:r>
    </w:p>
    <w:p w:rsidR="002F2984" w:rsidRPr="002357A9" w:rsidRDefault="002F2984" w:rsidP="002F2984">
      <w:pPr>
        <w:pBdr>
          <w:top w:val="nil"/>
          <w:left w:val="nil"/>
          <w:bottom w:val="nil"/>
          <w:right w:val="nil"/>
          <w:between w:val="nil"/>
        </w:pBdr>
        <w:spacing w:line="276" w:lineRule="auto"/>
        <w:jc w:val="both"/>
        <w:rPr>
          <w:rFonts w:ascii="Palatino Linotype" w:eastAsia="Palatino Linotype" w:hAnsi="Palatino Linotype" w:cs="Palatino Linotype"/>
          <w:sz w:val="22"/>
          <w:szCs w:val="22"/>
          <w:highlight w:val="yellow"/>
        </w:rPr>
      </w:pPr>
    </w:p>
    <w:p w:rsidR="002F2984" w:rsidRPr="002357A9" w:rsidRDefault="002F2984" w:rsidP="002F2984">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Figure 8: Trends of Currency Derivatives at NSE, MSEI and BSE (</w:t>
      </w:r>
      <w:r>
        <w:rPr>
          <w:rFonts w:ascii="Arial" w:eastAsia="Palatino Linotype" w:hAnsi="Arial" w:cs="Arial"/>
          <w:b/>
          <w:sz w:val="20"/>
          <w:szCs w:val="22"/>
        </w:rPr>
        <w:t>₹</w:t>
      </w:r>
      <w:r w:rsidRPr="002357A9">
        <w:rPr>
          <w:rFonts w:ascii="Palatino Linotype" w:eastAsia="Palatino Linotype" w:hAnsi="Palatino Linotype" w:cs="Palatino Linotype"/>
          <w:b/>
          <w:sz w:val="22"/>
          <w:szCs w:val="22"/>
        </w:rPr>
        <w:t xml:space="preserve"> crore)</w:t>
      </w:r>
    </w:p>
    <w:p w:rsidR="002F2984" w:rsidRPr="002357A9" w:rsidRDefault="002F2984" w:rsidP="002F2984">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9316A0">
        <w:rPr>
          <w:noProof/>
          <w:lang w:val="en-IN" w:eastAsia="en-IN" w:bidi="hi-IN"/>
        </w:rPr>
        <w:drawing>
          <wp:inline distT="0" distB="0" distL="0" distR="0">
            <wp:extent cx="5290185" cy="2747010"/>
            <wp:effectExtent l="0" t="0" r="5715" b="1524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2984" w:rsidRDefault="002F2984" w:rsidP="002F2984">
      <w:pPr>
        <w:spacing w:line="276" w:lineRule="auto"/>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r w:rsidRPr="00C41524">
        <w:rPr>
          <w:rFonts w:ascii="Palatino Linotype" w:eastAsia="Palatino Linotype" w:hAnsi="Palatino Linotype" w:cs="Palatino Linotype"/>
          <w:b/>
          <w:sz w:val="18"/>
          <w:szCs w:val="18"/>
        </w:rPr>
        <w:t xml:space="preserve">Source: BSE, NSE and MSEI </w:t>
      </w:r>
    </w:p>
    <w:p w:rsidR="002F2984" w:rsidRDefault="002F2984" w:rsidP="002F2984">
      <w:pPr>
        <w:spacing w:line="276" w:lineRule="auto"/>
        <w:rPr>
          <w:rFonts w:ascii="Palatino Linotype" w:eastAsia="Palatino Linotype" w:hAnsi="Palatino Linotype" w:cs="Palatino Linotype"/>
          <w:b/>
          <w:sz w:val="18"/>
          <w:szCs w:val="18"/>
        </w:rPr>
      </w:pPr>
    </w:p>
    <w:p w:rsidR="002F2984" w:rsidRDefault="002F2984" w:rsidP="002F2984">
      <w:pPr>
        <w:spacing w:line="276" w:lineRule="auto"/>
        <w:rPr>
          <w:rFonts w:ascii="Palatino Linotype" w:eastAsia="Palatino Linotype" w:hAnsi="Palatino Linotype" w:cs="Palatino Linotype"/>
          <w:b/>
          <w:sz w:val="18"/>
          <w:szCs w:val="18"/>
        </w:rPr>
      </w:pPr>
    </w:p>
    <w:p w:rsidR="002F2984" w:rsidRPr="002357A9" w:rsidRDefault="002F2984" w:rsidP="002F2984">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 xml:space="preserve">Interest Rate Derivatives </w:t>
      </w:r>
    </w:p>
    <w:p w:rsidR="002F2984" w:rsidRPr="00C41524"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C41524">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May</w:t>
      </w:r>
      <w:r w:rsidRPr="00C41524">
        <w:rPr>
          <w:rFonts w:ascii="Palatino Linotype" w:eastAsia="Palatino Linotype" w:hAnsi="Palatino Linotype" w:cs="Palatino Linotype"/>
          <w:sz w:val="22"/>
          <w:szCs w:val="22"/>
        </w:rPr>
        <w:t xml:space="preserve"> 2021, the monthly notional turnover of interest rate derivatives at NSE </w:t>
      </w:r>
      <w:r>
        <w:rPr>
          <w:rFonts w:ascii="Palatino Linotype" w:eastAsia="Palatino Linotype" w:hAnsi="Palatino Linotype" w:cs="Palatino Linotype"/>
          <w:sz w:val="22"/>
          <w:szCs w:val="22"/>
        </w:rPr>
        <w:t>in</w:t>
      </w:r>
      <w:r w:rsidRPr="00C41524">
        <w:rPr>
          <w:rFonts w:ascii="Palatino Linotype" w:eastAsia="Palatino Linotype" w:hAnsi="Palatino Linotype" w:cs="Palatino Linotype"/>
          <w:sz w:val="22"/>
          <w:szCs w:val="22"/>
        </w:rPr>
        <w:t xml:space="preserve">creased by </w:t>
      </w:r>
      <w:r>
        <w:rPr>
          <w:rFonts w:ascii="Palatino Linotype" w:eastAsia="Palatino Linotype" w:hAnsi="Palatino Linotype" w:cs="Palatino Linotype"/>
          <w:sz w:val="22"/>
          <w:szCs w:val="22"/>
        </w:rPr>
        <w:t>18.9</w:t>
      </w:r>
      <w:r w:rsidRPr="00C41524">
        <w:rPr>
          <w:rFonts w:ascii="Palatino Linotype" w:eastAsia="Palatino Linotype" w:hAnsi="Palatino Linotype" w:cs="Palatino Linotype"/>
          <w:sz w:val="22"/>
          <w:szCs w:val="22"/>
        </w:rPr>
        <w:t xml:space="preserve"> per cent to </w:t>
      </w:r>
      <w:r>
        <w:rPr>
          <w:rFonts w:ascii="Times New Roman" w:eastAsia="Palatino Linotype" w:hAnsi="Times New Roman"/>
          <w:sz w:val="22"/>
          <w:szCs w:val="22"/>
        </w:rPr>
        <w:t>₹</w:t>
      </w:r>
      <w:r>
        <w:rPr>
          <w:rFonts w:ascii="Palatino Linotype" w:eastAsia="Palatino Linotype" w:hAnsi="Palatino Linotype" w:cs="Palatino Linotype"/>
          <w:sz w:val="22"/>
          <w:szCs w:val="22"/>
        </w:rPr>
        <w:t xml:space="preserve">2,811 </w:t>
      </w:r>
      <w:r w:rsidRPr="00C41524">
        <w:rPr>
          <w:rFonts w:ascii="Palatino Linotype" w:eastAsia="Palatino Linotype" w:hAnsi="Palatino Linotype" w:cs="Palatino Linotype"/>
          <w:sz w:val="22"/>
          <w:szCs w:val="22"/>
        </w:rPr>
        <w:t xml:space="preserve">crore from </w:t>
      </w:r>
      <w:r>
        <w:rPr>
          <w:rFonts w:ascii="Times New Roman" w:eastAsia="Palatino Linotype" w:hAnsi="Times New Roman"/>
          <w:sz w:val="22"/>
          <w:szCs w:val="22"/>
        </w:rPr>
        <w:t>₹</w:t>
      </w:r>
      <w:r w:rsidRPr="00D8526D">
        <w:rPr>
          <w:rFonts w:ascii="Palatino Linotype" w:eastAsia="Palatino Linotype" w:hAnsi="Palatino Linotype" w:cs="Palatino Linotype"/>
          <w:sz w:val="22"/>
          <w:szCs w:val="22"/>
        </w:rPr>
        <w:t>2,365</w:t>
      </w:r>
      <w:r>
        <w:rPr>
          <w:rFonts w:ascii="Palatino Linotype" w:eastAsia="Palatino Linotype" w:hAnsi="Palatino Linotype" w:cs="Palatino Linotype"/>
          <w:sz w:val="22"/>
          <w:szCs w:val="22"/>
        </w:rPr>
        <w:t xml:space="preserve"> </w:t>
      </w:r>
      <w:r w:rsidRPr="00C41524">
        <w:rPr>
          <w:rFonts w:ascii="Palatino Linotype" w:eastAsia="Palatino Linotype" w:hAnsi="Palatino Linotype" w:cs="Palatino Linotype"/>
          <w:sz w:val="22"/>
          <w:szCs w:val="22"/>
        </w:rPr>
        <w:t xml:space="preserve">crore during </w:t>
      </w:r>
      <w:r>
        <w:rPr>
          <w:rFonts w:ascii="Palatino Linotype" w:eastAsia="Palatino Linotype" w:hAnsi="Palatino Linotype" w:cs="Palatino Linotype"/>
          <w:sz w:val="22"/>
          <w:szCs w:val="22"/>
        </w:rPr>
        <w:t>April 2021</w:t>
      </w:r>
      <w:r w:rsidRPr="00C41524">
        <w:rPr>
          <w:rFonts w:ascii="Palatino Linotype" w:eastAsia="Palatino Linotype" w:hAnsi="Palatino Linotype" w:cs="Palatino Linotype"/>
          <w:sz w:val="22"/>
          <w:szCs w:val="22"/>
        </w:rPr>
        <w:t xml:space="preserve">. </w:t>
      </w:r>
    </w:p>
    <w:p w:rsidR="002F2984" w:rsidRPr="00685601"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C41524">
        <w:rPr>
          <w:rFonts w:ascii="Palatino Linotype" w:eastAsia="Palatino Linotype" w:hAnsi="Palatino Linotype" w:cs="Palatino Linotype"/>
          <w:sz w:val="22"/>
          <w:szCs w:val="22"/>
        </w:rPr>
        <w:t xml:space="preserve">The monthly notional turnover of interest rate </w:t>
      </w:r>
      <w:r>
        <w:rPr>
          <w:rFonts w:ascii="Palatino Linotype" w:eastAsia="Palatino Linotype" w:hAnsi="Palatino Linotype" w:cs="Palatino Linotype"/>
          <w:sz w:val="22"/>
          <w:szCs w:val="22"/>
        </w:rPr>
        <w:t>futures</w:t>
      </w:r>
      <w:r w:rsidRPr="00C41524">
        <w:rPr>
          <w:rFonts w:ascii="Palatino Linotype" w:eastAsia="Palatino Linotype" w:hAnsi="Palatino Linotype" w:cs="Palatino Linotype"/>
          <w:sz w:val="22"/>
          <w:szCs w:val="22"/>
        </w:rPr>
        <w:t xml:space="preserve"> at BSE </w:t>
      </w:r>
      <w:r>
        <w:rPr>
          <w:rFonts w:ascii="Palatino Linotype" w:eastAsia="Palatino Linotype" w:hAnsi="Palatino Linotype" w:cs="Palatino Linotype"/>
          <w:sz w:val="22"/>
          <w:szCs w:val="22"/>
        </w:rPr>
        <w:t>in</w:t>
      </w:r>
      <w:r w:rsidRPr="00C41524">
        <w:rPr>
          <w:rFonts w:ascii="Palatino Linotype" w:eastAsia="Palatino Linotype" w:hAnsi="Palatino Linotype" w:cs="Palatino Linotype"/>
          <w:sz w:val="22"/>
          <w:szCs w:val="22"/>
        </w:rPr>
        <w:t xml:space="preserve">creased </w:t>
      </w:r>
      <w:r>
        <w:rPr>
          <w:rFonts w:ascii="Palatino Linotype" w:eastAsia="Palatino Linotype" w:hAnsi="Palatino Linotype" w:cs="Palatino Linotype"/>
          <w:sz w:val="22"/>
          <w:szCs w:val="22"/>
        </w:rPr>
        <w:t xml:space="preserve">manifold </w:t>
      </w:r>
      <w:r w:rsidRPr="00C41524">
        <w:rPr>
          <w:rFonts w:ascii="Palatino Linotype" w:eastAsia="Palatino Linotype" w:hAnsi="Palatino Linotype" w:cs="Palatino Linotype"/>
          <w:sz w:val="22"/>
          <w:szCs w:val="22"/>
        </w:rPr>
        <w:t xml:space="preserve">to </w:t>
      </w:r>
      <w:r>
        <w:rPr>
          <w:rFonts w:ascii="Times New Roman" w:eastAsia="Palatino Linotype" w:hAnsi="Times New Roman"/>
          <w:sz w:val="22"/>
          <w:szCs w:val="22"/>
        </w:rPr>
        <w:t>₹</w:t>
      </w:r>
      <w:r>
        <w:rPr>
          <w:rFonts w:ascii="Palatino Linotype" w:eastAsia="Palatino Linotype" w:hAnsi="Palatino Linotype" w:cs="Palatino Linotype"/>
          <w:sz w:val="22"/>
          <w:szCs w:val="22"/>
        </w:rPr>
        <w:t>2,276</w:t>
      </w:r>
      <w:r w:rsidRPr="00685601">
        <w:rPr>
          <w:rFonts w:ascii="Palatino Linotype" w:eastAsia="Palatino Linotype" w:hAnsi="Palatino Linotype" w:cs="Palatino Linotype"/>
          <w:sz w:val="22"/>
          <w:szCs w:val="22"/>
        </w:rPr>
        <w:t xml:space="preserve"> </w:t>
      </w:r>
      <w:r w:rsidRPr="00C41524">
        <w:rPr>
          <w:rFonts w:ascii="Palatino Linotype" w:eastAsia="Palatino Linotype" w:hAnsi="Palatino Linotype" w:cs="Palatino Linotype"/>
          <w:sz w:val="22"/>
          <w:szCs w:val="22"/>
        </w:rPr>
        <w:t xml:space="preserve">crore from </w:t>
      </w:r>
      <w:r>
        <w:rPr>
          <w:rFonts w:ascii="Times New Roman" w:eastAsia="Palatino Linotype" w:hAnsi="Times New Roman"/>
          <w:sz w:val="22"/>
          <w:szCs w:val="22"/>
        </w:rPr>
        <w:t>₹</w:t>
      </w:r>
      <w:r w:rsidRPr="00685601">
        <w:rPr>
          <w:rFonts w:ascii="Palatino Linotype" w:eastAsia="Palatino Linotype" w:hAnsi="Palatino Linotype" w:cs="Palatino Linotype"/>
          <w:sz w:val="22"/>
          <w:szCs w:val="22"/>
        </w:rPr>
        <w:t>1</w:t>
      </w:r>
      <w:r>
        <w:rPr>
          <w:rFonts w:ascii="Palatino Linotype" w:eastAsia="Palatino Linotype" w:hAnsi="Palatino Linotype" w:cs="Palatino Linotype"/>
          <w:sz w:val="22"/>
          <w:szCs w:val="22"/>
        </w:rPr>
        <w:t>55</w:t>
      </w:r>
      <w:r w:rsidRPr="00685601">
        <w:rPr>
          <w:rFonts w:ascii="Palatino Linotype" w:eastAsia="Palatino Linotype" w:hAnsi="Palatino Linotype" w:cs="Palatino Linotype"/>
          <w:sz w:val="22"/>
          <w:szCs w:val="22"/>
        </w:rPr>
        <w:t xml:space="preserve"> </w:t>
      </w:r>
      <w:r w:rsidRPr="00D8526D">
        <w:rPr>
          <w:rFonts w:ascii="Times New Roman" w:eastAsia="Palatino Linotype" w:hAnsi="Times New Roman"/>
          <w:sz w:val="22"/>
          <w:szCs w:val="22"/>
        </w:rPr>
        <w:t xml:space="preserve">crore </w:t>
      </w:r>
      <w:r w:rsidRPr="00C41524">
        <w:rPr>
          <w:rFonts w:ascii="Palatino Linotype" w:eastAsia="Palatino Linotype" w:hAnsi="Palatino Linotype" w:cs="Palatino Linotype"/>
          <w:sz w:val="22"/>
          <w:szCs w:val="22"/>
        </w:rPr>
        <w:t xml:space="preserve">during the same period. </w:t>
      </w:r>
    </w:p>
    <w:p w:rsidR="002F2984" w:rsidRPr="002357A9" w:rsidRDefault="002F2984" w:rsidP="002F2984">
      <w:pPr>
        <w:rPr>
          <w:rFonts w:ascii="Palatino Linotype" w:eastAsia="Palatino Linotype" w:hAnsi="Palatino Linotype" w:cs="Palatino Linotype"/>
          <w:b/>
          <w:color w:val="2E74B5"/>
          <w:sz w:val="22"/>
          <w:szCs w:val="22"/>
          <w:highlight w:val="yellow"/>
        </w:rPr>
      </w:pPr>
    </w:p>
    <w:p w:rsidR="002F2984" w:rsidRPr="002357A9" w:rsidRDefault="002F2984" w:rsidP="002F2984">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Figure 9: Trends of Interest Rate Futures at NSE and BSE</w:t>
      </w:r>
    </w:p>
    <w:p w:rsidR="002F2984" w:rsidRDefault="002F2984" w:rsidP="002F2984">
      <w:pP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r w:rsidRPr="009316A0">
        <w:rPr>
          <w:noProof/>
          <w:lang w:val="en-IN" w:eastAsia="en-IN" w:bidi="hi-IN"/>
        </w:rPr>
        <w:drawing>
          <wp:inline distT="0" distB="0" distL="0" distR="0">
            <wp:extent cx="5220335" cy="2557780"/>
            <wp:effectExtent l="0" t="0" r="18415" b="1397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2984" w:rsidRDefault="002F2984" w:rsidP="002F2984">
      <w:pP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r w:rsidRPr="00C41524">
        <w:rPr>
          <w:rFonts w:ascii="Palatino Linotype" w:eastAsia="Palatino Linotype" w:hAnsi="Palatino Linotype" w:cs="Palatino Linotype"/>
          <w:b/>
          <w:sz w:val="18"/>
          <w:szCs w:val="18"/>
        </w:rPr>
        <w:t xml:space="preserve"> Source: BSE</w:t>
      </w:r>
      <w:r>
        <w:rPr>
          <w:rFonts w:ascii="Palatino Linotype" w:eastAsia="Palatino Linotype" w:hAnsi="Palatino Linotype" w:cs="Palatino Linotype"/>
          <w:b/>
          <w:sz w:val="18"/>
          <w:szCs w:val="18"/>
        </w:rPr>
        <w:t xml:space="preserve"> and</w:t>
      </w:r>
      <w:r w:rsidRPr="00C41524">
        <w:rPr>
          <w:rFonts w:ascii="Palatino Linotype" w:eastAsia="Palatino Linotype" w:hAnsi="Palatino Linotype" w:cs="Palatino Linotype"/>
          <w:b/>
          <w:sz w:val="18"/>
          <w:szCs w:val="18"/>
        </w:rPr>
        <w:t xml:space="preserve"> NSE </w:t>
      </w:r>
    </w:p>
    <w:p w:rsidR="002F2984" w:rsidRDefault="002F2984" w:rsidP="002F2984">
      <w:pPr>
        <w:rPr>
          <w:rFonts w:ascii="Palatino Linotype" w:eastAsia="Palatino Linotype" w:hAnsi="Palatino Linotype" w:cs="Palatino Linotype"/>
          <w:b/>
          <w:sz w:val="18"/>
          <w:szCs w:val="18"/>
        </w:rPr>
      </w:pPr>
    </w:p>
    <w:p w:rsidR="002F2984" w:rsidRPr="002357A9" w:rsidRDefault="002F2984" w:rsidP="002F2984">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Trading in Corporate Debt Market</w:t>
      </w:r>
    </w:p>
    <w:p w:rsidR="002F2984" w:rsidRPr="00995B5C"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C41524">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May</w:t>
      </w:r>
      <w:r w:rsidRPr="00C41524">
        <w:rPr>
          <w:rFonts w:ascii="Palatino Linotype" w:eastAsia="Palatino Linotype" w:hAnsi="Palatino Linotype" w:cs="Palatino Linotype"/>
          <w:sz w:val="22"/>
          <w:szCs w:val="22"/>
        </w:rPr>
        <w:t xml:space="preserve"> 2021, BSE registered </w:t>
      </w:r>
      <w:r>
        <w:rPr>
          <w:rFonts w:ascii="Palatino Linotype" w:eastAsia="Palatino Linotype" w:hAnsi="Palatino Linotype" w:cs="Palatino Linotype"/>
          <w:sz w:val="22"/>
          <w:szCs w:val="22"/>
        </w:rPr>
        <w:t xml:space="preserve">6,259 </w:t>
      </w:r>
      <w:r w:rsidRPr="00C41524">
        <w:rPr>
          <w:rFonts w:ascii="Palatino Linotype" w:eastAsia="Palatino Linotype" w:hAnsi="Palatino Linotype" w:cs="Palatino Linotype"/>
          <w:sz w:val="22"/>
          <w:szCs w:val="22"/>
        </w:rPr>
        <w:t xml:space="preserve">trades of corporate debt with traded value of </w:t>
      </w:r>
      <w:r>
        <w:rPr>
          <w:rFonts w:ascii="Times New Roman" w:eastAsia="Palatino Linotype" w:hAnsi="Times New Roman"/>
          <w:sz w:val="22"/>
          <w:szCs w:val="22"/>
        </w:rPr>
        <w:t>₹</w:t>
      </w:r>
      <w:r>
        <w:rPr>
          <w:rFonts w:ascii="Palatino Linotype" w:eastAsia="Palatino Linotype" w:hAnsi="Palatino Linotype" w:cs="Palatino Linotype"/>
          <w:sz w:val="22"/>
          <w:szCs w:val="22"/>
        </w:rPr>
        <w:t xml:space="preserve">54,136 </w:t>
      </w:r>
      <w:r w:rsidRPr="00C41524">
        <w:rPr>
          <w:rFonts w:ascii="Palatino Linotype" w:eastAsia="Palatino Linotype" w:hAnsi="Palatino Linotype" w:cs="Palatino Linotype"/>
          <w:sz w:val="22"/>
          <w:szCs w:val="22"/>
        </w:rPr>
        <w:t xml:space="preserve">crore, as compared to </w:t>
      </w:r>
      <w:r w:rsidRPr="00D8526D">
        <w:rPr>
          <w:rFonts w:ascii="Palatino Linotype" w:eastAsia="Palatino Linotype" w:hAnsi="Palatino Linotype" w:cs="Palatino Linotype"/>
          <w:sz w:val="22"/>
          <w:szCs w:val="22"/>
        </w:rPr>
        <w:t>7,236</w:t>
      </w:r>
      <w:r>
        <w:rPr>
          <w:rFonts w:ascii="Palatino Linotype" w:eastAsia="Palatino Linotype" w:hAnsi="Palatino Linotype" w:cs="Palatino Linotype"/>
          <w:sz w:val="22"/>
          <w:szCs w:val="22"/>
        </w:rPr>
        <w:t xml:space="preserve"> </w:t>
      </w:r>
      <w:r w:rsidRPr="00C41524">
        <w:rPr>
          <w:rFonts w:ascii="Palatino Linotype" w:eastAsia="Palatino Linotype" w:hAnsi="Palatino Linotype" w:cs="Palatino Linotype"/>
          <w:sz w:val="22"/>
          <w:szCs w:val="22"/>
        </w:rPr>
        <w:t xml:space="preserve">trades </w:t>
      </w:r>
      <w:r w:rsidRPr="00685601">
        <w:rPr>
          <w:rFonts w:ascii="Palatino Linotype" w:eastAsia="Palatino Linotype" w:hAnsi="Palatino Linotype" w:cs="Palatino Linotype"/>
          <w:sz w:val="22"/>
          <w:szCs w:val="22"/>
        </w:rPr>
        <w:t xml:space="preserve">with traded value of </w:t>
      </w:r>
      <w:r>
        <w:rPr>
          <w:rFonts w:ascii="Times New Roman" w:eastAsia="Palatino Linotype" w:hAnsi="Times New Roman"/>
          <w:sz w:val="22"/>
          <w:szCs w:val="22"/>
        </w:rPr>
        <w:t>₹</w:t>
      </w:r>
      <w:r w:rsidRPr="00D8526D">
        <w:rPr>
          <w:rFonts w:ascii="Palatino Linotype" w:eastAsia="Palatino Linotype" w:hAnsi="Palatino Linotype" w:cs="Palatino Linotype"/>
          <w:sz w:val="22"/>
          <w:szCs w:val="22"/>
        </w:rPr>
        <w:t>60,889</w:t>
      </w:r>
      <w:r>
        <w:rPr>
          <w:rFonts w:ascii="Palatino Linotype" w:eastAsia="Palatino Linotype" w:hAnsi="Palatino Linotype" w:cs="Palatino Linotype"/>
          <w:sz w:val="22"/>
          <w:szCs w:val="22"/>
        </w:rPr>
        <w:t xml:space="preserve"> </w:t>
      </w:r>
      <w:r w:rsidRPr="00C41524">
        <w:rPr>
          <w:rFonts w:ascii="Palatino Linotype" w:eastAsia="Palatino Linotype" w:hAnsi="Palatino Linotype" w:cs="Palatino Linotype"/>
          <w:sz w:val="22"/>
          <w:szCs w:val="22"/>
        </w:rPr>
        <w:t xml:space="preserve">crore in the previous month.  </w:t>
      </w:r>
    </w:p>
    <w:p w:rsidR="002F2984" w:rsidRPr="00C41524"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C41524">
        <w:rPr>
          <w:rFonts w:ascii="Palatino Linotype" w:eastAsia="Palatino Linotype" w:hAnsi="Palatino Linotype" w:cs="Palatino Linotype"/>
          <w:sz w:val="22"/>
          <w:szCs w:val="22"/>
        </w:rPr>
        <w:t xml:space="preserve">At NSE, </w:t>
      </w:r>
      <w:r>
        <w:rPr>
          <w:rFonts w:ascii="Palatino Linotype" w:eastAsia="Palatino Linotype" w:hAnsi="Palatino Linotype" w:cs="Palatino Linotype"/>
          <w:sz w:val="22"/>
          <w:szCs w:val="22"/>
        </w:rPr>
        <w:t xml:space="preserve">4,925 </w:t>
      </w:r>
      <w:r w:rsidRPr="00C41524">
        <w:rPr>
          <w:rFonts w:ascii="Palatino Linotype" w:eastAsia="Palatino Linotype" w:hAnsi="Palatino Linotype" w:cs="Palatino Linotype"/>
          <w:sz w:val="22"/>
          <w:szCs w:val="22"/>
        </w:rPr>
        <w:t xml:space="preserve">trades were recorded with a traded value of </w:t>
      </w:r>
      <w:r>
        <w:rPr>
          <w:rFonts w:ascii="Times New Roman" w:eastAsia="Palatino Linotype" w:hAnsi="Times New Roman"/>
          <w:sz w:val="22"/>
          <w:szCs w:val="22"/>
        </w:rPr>
        <w:t>₹</w:t>
      </w:r>
      <w:r>
        <w:rPr>
          <w:rFonts w:ascii="Palatino Linotype" w:eastAsia="Palatino Linotype" w:hAnsi="Palatino Linotype" w:cs="Palatino Linotype"/>
          <w:sz w:val="22"/>
          <w:szCs w:val="22"/>
        </w:rPr>
        <w:t xml:space="preserve">79,924 </w:t>
      </w:r>
      <w:r w:rsidRPr="00C41524">
        <w:rPr>
          <w:rFonts w:ascii="Palatino Linotype" w:eastAsia="Palatino Linotype" w:hAnsi="Palatino Linotype" w:cs="Palatino Linotype"/>
          <w:sz w:val="22"/>
          <w:szCs w:val="22"/>
        </w:rPr>
        <w:t xml:space="preserve">crore in </w:t>
      </w:r>
      <w:r>
        <w:rPr>
          <w:rFonts w:ascii="Palatino Linotype" w:eastAsia="Palatino Linotype" w:hAnsi="Palatino Linotype" w:cs="Palatino Linotype"/>
          <w:sz w:val="22"/>
          <w:szCs w:val="22"/>
        </w:rPr>
        <w:t>May</w:t>
      </w:r>
      <w:r w:rsidRPr="00C41524">
        <w:rPr>
          <w:rFonts w:ascii="Palatino Linotype" w:eastAsia="Palatino Linotype" w:hAnsi="Palatino Linotype" w:cs="Palatino Linotype"/>
          <w:sz w:val="22"/>
          <w:szCs w:val="22"/>
        </w:rPr>
        <w:t xml:space="preserve"> 2021 as compared to </w:t>
      </w:r>
      <w:r w:rsidRPr="00D8526D">
        <w:rPr>
          <w:rFonts w:ascii="Palatino Linotype" w:eastAsia="Palatino Linotype" w:hAnsi="Palatino Linotype" w:cs="Palatino Linotype"/>
          <w:sz w:val="22"/>
          <w:szCs w:val="22"/>
        </w:rPr>
        <w:t>4,940</w:t>
      </w:r>
      <w:r>
        <w:rPr>
          <w:rFonts w:ascii="Palatino Linotype" w:eastAsia="Palatino Linotype" w:hAnsi="Palatino Linotype" w:cs="Palatino Linotype"/>
          <w:sz w:val="22"/>
          <w:szCs w:val="22"/>
        </w:rPr>
        <w:t xml:space="preserve"> </w:t>
      </w:r>
      <w:r w:rsidRPr="00C41524">
        <w:rPr>
          <w:rFonts w:ascii="Palatino Linotype" w:eastAsia="Palatino Linotype" w:hAnsi="Palatino Linotype" w:cs="Palatino Linotype"/>
          <w:sz w:val="22"/>
          <w:szCs w:val="22"/>
        </w:rPr>
        <w:t xml:space="preserve">trades recorded with a traded value of </w:t>
      </w:r>
      <w:r>
        <w:rPr>
          <w:rFonts w:ascii="Times New Roman" w:eastAsia="Palatino Linotype" w:hAnsi="Times New Roman"/>
          <w:sz w:val="22"/>
          <w:szCs w:val="22"/>
        </w:rPr>
        <w:t>₹</w:t>
      </w:r>
      <w:r w:rsidRPr="00D8526D">
        <w:rPr>
          <w:rFonts w:ascii="Palatino Linotype" w:eastAsia="Palatino Linotype" w:hAnsi="Palatino Linotype" w:cs="Palatino Linotype"/>
          <w:sz w:val="22"/>
          <w:szCs w:val="22"/>
        </w:rPr>
        <w:t>90,993</w:t>
      </w:r>
      <w:r>
        <w:rPr>
          <w:rFonts w:ascii="Palatino Linotype" w:eastAsia="Palatino Linotype" w:hAnsi="Palatino Linotype" w:cs="Palatino Linotype"/>
          <w:sz w:val="22"/>
          <w:szCs w:val="22"/>
        </w:rPr>
        <w:t xml:space="preserve"> </w:t>
      </w:r>
      <w:r w:rsidRPr="00C41524">
        <w:rPr>
          <w:rFonts w:ascii="Palatino Linotype" w:eastAsia="Palatino Linotype" w:hAnsi="Palatino Linotype" w:cs="Palatino Linotype"/>
          <w:sz w:val="22"/>
          <w:szCs w:val="22"/>
        </w:rPr>
        <w:t xml:space="preserve">crore in </w:t>
      </w:r>
      <w:r>
        <w:rPr>
          <w:rFonts w:ascii="Palatino Linotype" w:eastAsia="Palatino Linotype" w:hAnsi="Palatino Linotype" w:cs="Palatino Linotype"/>
          <w:sz w:val="22"/>
          <w:szCs w:val="22"/>
        </w:rPr>
        <w:t>April</w:t>
      </w:r>
      <w:r w:rsidRPr="00C41524">
        <w:rPr>
          <w:rFonts w:ascii="Palatino Linotype" w:eastAsia="Palatino Linotype" w:hAnsi="Palatino Linotype" w:cs="Palatino Linotype"/>
          <w:sz w:val="22"/>
          <w:szCs w:val="22"/>
        </w:rPr>
        <w:t xml:space="preserve"> 2021. </w:t>
      </w:r>
    </w:p>
    <w:p w:rsidR="002F2984" w:rsidRPr="002357A9" w:rsidRDefault="002F2984" w:rsidP="002F2984">
      <w:pPr>
        <w:pBdr>
          <w:top w:val="nil"/>
          <w:left w:val="nil"/>
          <w:bottom w:val="nil"/>
          <w:right w:val="nil"/>
          <w:between w:val="nil"/>
        </w:pBdr>
        <w:spacing w:line="276" w:lineRule="auto"/>
        <w:ind w:left="720" w:hanging="720"/>
        <w:rPr>
          <w:rFonts w:ascii="Palatino Linotype" w:eastAsia="Palatino Linotype" w:hAnsi="Palatino Linotype" w:cs="Palatino Linotype"/>
          <w:b/>
          <w:color w:val="2E74B5"/>
          <w:sz w:val="22"/>
          <w:szCs w:val="22"/>
          <w:highlight w:val="yellow"/>
        </w:rPr>
      </w:pP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Figure 10: Trends in Reported Turnover of Corporate Bonds (</w:t>
      </w:r>
      <w:r>
        <w:rPr>
          <w:rFonts w:ascii="Arial" w:eastAsia="Palatino Linotype" w:hAnsi="Arial" w:cs="Arial"/>
          <w:b/>
          <w:sz w:val="20"/>
          <w:szCs w:val="22"/>
        </w:rPr>
        <w:t>₹</w:t>
      </w:r>
      <w:r w:rsidRPr="002357A9">
        <w:rPr>
          <w:rFonts w:ascii="Palatino Linotype" w:eastAsia="Palatino Linotype" w:hAnsi="Palatino Linotype" w:cs="Palatino Linotype"/>
          <w:b/>
          <w:sz w:val="22"/>
          <w:szCs w:val="22"/>
        </w:rPr>
        <w:t xml:space="preserve"> crore)</w:t>
      </w: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9316A0">
        <w:rPr>
          <w:noProof/>
          <w:lang w:val="en-IN" w:eastAsia="en-IN" w:bidi="hi-IN"/>
        </w:rPr>
        <w:drawing>
          <wp:inline distT="0" distB="0" distL="0" distR="0">
            <wp:extent cx="4568190" cy="2739390"/>
            <wp:effectExtent l="0" t="0" r="3810" b="381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2984" w:rsidRDefault="002F2984" w:rsidP="002F2984">
      <w:pP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w:t>
      </w:r>
      <w:r w:rsidRPr="00C41524">
        <w:rPr>
          <w:rFonts w:ascii="Palatino Linotype" w:eastAsia="Palatino Linotype" w:hAnsi="Palatino Linotype" w:cs="Palatino Linotype"/>
          <w:b/>
          <w:sz w:val="18"/>
          <w:szCs w:val="18"/>
        </w:rPr>
        <w:t>Source: BSE</w:t>
      </w:r>
      <w:r>
        <w:rPr>
          <w:rFonts w:ascii="Palatino Linotype" w:eastAsia="Palatino Linotype" w:hAnsi="Palatino Linotype" w:cs="Palatino Linotype"/>
          <w:b/>
          <w:sz w:val="18"/>
          <w:szCs w:val="18"/>
        </w:rPr>
        <w:t xml:space="preserve"> and</w:t>
      </w:r>
      <w:r w:rsidRPr="00C41524">
        <w:rPr>
          <w:rFonts w:ascii="Palatino Linotype" w:eastAsia="Palatino Linotype" w:hAnsi="Palatino Linotype" w:cs="Palatino Linotype"/>
          <w:b/>
          <w:sz w:val="18"/>
          <w:szCs w:val="18"/>
        </w:rPr>
        <w:t xml:space="preserve"> NSE </w:t>
      </w: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p>
    <w:p w:rsidR="002F2984" w:rsidRDefault="002F2984" w:rsidP="002F2984">
      <w:pPr>
        <w:widowControl w:val="0"/>
        <w:spacing w:line="276" w:lineRule="auto"/>
        <w:ind w:left="720"/>
        <w:contextualSpacing/>
        <w:jc w:val="both"/>
        <w:rPr>
          <w:rFonts w:ascii="Palatino Linotype" w:hAnsi="Palatino Linotype"/>
          <w:b/>
          <w:color w:val="2E74B5"/>
          <w:sz w:val="22"/>
          <w:szCs w:val="22"/>
        </w:rPr>
      </w:pPr>
    </w:p>
    <w:p w:rsidR="002F2984" w:rsidRPr="002357A9" w:rsidRDefault="002F2984" w:rsidP="002F2984">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Trends in Institutional Investments</w:t>
      </w:r>
    </w:p>
    <w:p w:rsidR="002F2984" w:rsidRPr="002357A9" w:rsidRDefault="002F2984" w:rsidP="002F2984">
      <w:pPr>
        <w:widowControl w:val="0"/>
        <w:spacing w:line="276" w:lineRule="auto"/>
        <w:ind w:left="720"/>
        <w:jc w:val="both"/>
        <w:rPr>
          <w:rFonts w:ascii="Palatino Linotype" w:eastAsia="Palatino Linotype" w:hAnsi="Palatino Linotype" w:cs="Palatino Linotype"/>
          <w:b/>
          <w:sz w:val="22"/>
          <w:szCs w:val="22"/>
          <w:highlight w:val="yellow"/>
        </w:rPr>
      </w:pPr>
    </w:p>
    <w:p w:rsidR="002F2984" w:rsidRPr="002357A9" w:rsidRDefault="002F2984" w:rsidP="002F2984">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Trends in Fund Mobilisation/Transactions by Mutual Funds</w:t>
      </w:r>
    </w:p>
    <w:p w:rsidR="002F2984" w:rsidRPr="00AA5AFD"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9316A0">
        <w:rPr>
          <w:rFonts w:ascii="Palatino Linotype" w:eastAsia="Times New Roman" w:hAnsi="Palatino Linotype" w:cs="Tahoma"/>
          <w:color w:val="000000"/>
          <w:sz w:val="22"/>
          <w:szCs w:val="22"/>
          <w:lang w:val="en-IN" w:eastAsia="en-IN"/>
        </w:rPr>
        <w:t> </w:t>
      </w:r>
      <w:r w:rsidRPr="009316A0">
        <w:rPr>
          <w:rFonts w:ascii="Palatino Linotype" w:eastAsia="Times New Roman" w:hAnsi="Palatino Linotype" w:cs="Tahoma"/>
          <w:color w:val="000000"/>
          <w:sz w:val="22"/>
          <w:szCs w:val="22"/>
          <w:lang w:eastAsia="en-IN"/>
        </w:rPr>
        <w:t xml:space="preserve">As at </w:t>
      </w:r>
      <w:r w:rsidRPr="009316A0">
        <w:rPr>
          <w:rFonts w:ascii="Palatino Linotype" w:eastAsia="Palatino Linotype" w:hAnsi="Palatino Linotype" w:cs="Palatino Linotype"/>
          <w:color w:val="000000"/>
          <w:sz w:val="22"/>
          <w:szCs w:val="22"/>
        </w:rPr>
        <w:t>end of May 2021, there were a total of 1,597 mutual fund schemes in the market, of which 1027 were open-ended schemes, 549 were close-ended schemes and 21 were interval schemes</w:t>
      </w:r>
      <w:r w:rsidRPr="00AA5AFD">
        <w:rPr>
          <w:rFonts w:ascii="Palatino Linotype" w:eastAsia="Palatino Linotype" w:hAnsi="Palatino Linotype" w:cs="Palatino Linotype"/>
          <w:sz w:val="22"/>
          <w:szCs w:val="22"/>
        </w:rPr>
        <w:t xml:space="preserve">. </w:t>
      </w:r>
    </w:p>
    <w:p w:rsidR="002F2984" w:rsidRPr="00AA5AFD"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AA5AFD">
        <w:rPr>
          <w:rFonts w:ascii="Palatino Linotype" w:eastAsia="Palatino Linotype" w:hAnsi="Palatino Linotype" w:cs="Palatino Linotype"/>
          <w:sz w:val="22"/>
          <w:szCs w:val="22"/>
        </w:rPr>
        <w:lastRenderedPageBreak/>
        <w:t xml:space="preserve">The mutual fund industry saw a net </w:t>
      </w:r>
      <w:r>
        <w:rPr>
          <w:rFonts w:ascii="Palatino Linotype" w:eastAsia="Palatino Linotype" w:hAnsi="Palatino Linotype" w:cs="Palatino Linotype"/>
          <w:sz w:val="22"/>
          <w:szCs w:val="22"/>
        </w:rPr>
        <w:t>out</w:t>
      </w:r>
      <w:r w:rsidRPr="00AA5AFD">
        <w:rPr>
          <w:rFonts w:ascii="Palatino Linotype" w:eastAsia="Palatino Linotype" w:hAnsi="Palatino Linotype" w:cs="Palatino Linotype"/>
          <w:sz w:val="22"/>
          <w:szCs w:val="22"/>
        </w:rPr>
        <w:t xml:space="preserve">flow of </w:t>
      </w:r>
      <w:r>
        <w:rPr>
          <w:rFonts w:ascii="Times New Roman" w:eastAsia="Palatino Linotype" w:hAnsi="Times New Roman"/>
          <w:sz w:val="22"/>
          <w:szCs w:val="22"/>
        </w:rPr>
        <w:t>₹</w:t>
      </w:r>
      <w:r>
        <w:rPr>
          <w:rFonts w:ascii="Palatino Linotype" w:eastAsia="Palatino Linotype" w:hAnsi="Palatino Linotype" w:cs="Palatino Linotype"/>
          <w:sz w:val="22"/>
          <w:szCs w:val="22"/>
        </w:rPr>
        <w:t>38,602</w:t>
      </w:r>
      <w:r w:rsidRPr="00AA5AFD">
        <w:rPr>
          <w:rFonts w:ascii="Palatino Linotype" w:eastAsia="Palatino Linotype" w:hAnsi="Palatino Linotype" w:cs="Palatino Linotype"/>
          <w:sz w:val="22"/>
          <w:szCs w:val="22"/>
        </w:rPr>
        <w:t xml:space="preserve"> crore during </w:t>
      </w:r>
      <w:r>
        <w:rPr>
          <w:rFonts w:ascii="Palatino Linotype" w:eastAsia="Palatino Linotype" w:hAnsi="Palatino Linotype" w:cs="Palatino Linotype"/>
          <w:sz w:val="22"/>
          <w:szCs w:val="22"/>
        </w:rPr>
        <w:t>May</w:t>
      </w:r>
      <w:r w:rsidRPr="00AA5AFD">
        <w:rPr>
          <w:rFonts w:ascii="Palatino Linotype" w:eastAsia="Palatino Linotype" w:hAnsi="Palatino Linotype" w:cs="Palatino Linotype"/>
          <w:sz w:val="22"/>
          <w:szCs w:val="22"/>
        </w:rPr>
        <w:t xml:space="preserve"> 2021, against a net </w:t>
      </w:r>
      <w:r>
        <w:rPr>
          <w:rFonts w:ascii="Palatino Linotype" w:eastAsia="Palatino Linotype" w:hAnsi="Palatino Linotype" w:cs="Palatino Linotype"/>
          <w:sz w:val="22"/>
          <w:szCs w:val="22"/>
        </w:rPr>
        <w:t>in</w:t>
      </w:r>
      <w:r w:rsidRPr="00AA5AFD">
        <w:rPr>
          <w:rFonts w:ascii="Palatino Linotype" w:eastAsia="Palatino Linotype" w:hAnsi="Palatino Linotype" w:cs="Palatino Linotype"/>
          <w:sz w:val="22"/>
          <w:szCs w:val="22"/>
        </w:rPr>
        <w:t xml:space="preserve">flow of </w:t>
      </w:r>
      <w:r>
        <w:rPr>
          <w:rFonts w:ascii="Times New Roman" w:eastAsia="Palatino Linotype" w:hAnsi="Times New Roman"/>
          <w:sz w:val="22"/>
          <w:szCs w:val="22"/>
        </w:rPr>
        <w:t>₹</w:t>
      </w:r>
      <w:r w:rsidRPr="00AA5AFD">
        <w:rPr>
          <w:rFonts w:ascii="Palatino Linotype" w:eastAsia="Palatino Linotype" w:hAnsi="Palatino Linotype" w:cs="Palatino Linotype"/>
          <w:sz w:val="22"/>
          <w:szCs w:val="22"/>
        </w:rPr>
        <w:t xml:space="preserve">92,906 crore during </w:t>
      </w:r>
      <w:r>
        <w:rPr>
          <w:rFonts w:ascii="Palatino Linotype" w:eastAsia="Palatino Linotype" w:hAnsi="Palatino Linotype" w:cs="Palatino Linotype"/>
          <w:sz w:val="22"/>
          <w:szCs w:val="22"/>
        </w:rPr>
        <w:t>April</w:t>
      </w:r>
      <w:r w:rsidRPr="00AA5AFD">
        <w:rPr>
          <w:rFonts w:ascii="Palatino Linotype" w:eastAsia="Palatino Linotype" w:hAnsi="Palatino Linotype" w:cs="Palatino Linotype"/>
          <w:sz w:val="22"/>
          <w:szCs w:val="22"/>
        </w:rPr>
        <w:t xml:space="preserve"> 2021.</w:t>
      </w:r>
    </w:p>
    <w:p w:rsidR="002F2984" w:rsidRPr="009316A0"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9316A0">
        <w:rPr>
          <w:rFonts w:ascii="Palatino Linotype" w:eastAsia="Palatino Linotype" w:hAnsi="Palatino Linotype" w:cs="Palatino Linotype"/>
          <w:color w:val="000000"/>
          <w:sz w:val="22"/>
          <w:szCs w:val="22"/>
        </w:rPr>
        <w:t xml:space="preserve">The funds mobilised by open-ended schemes during May 2021 was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5,92,378 crore against redemption/repurchase of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6,11,190 crore, resulting in a net outflow of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18,812 crore from open-ended schemes. Of the total funds mobilised by the open-ended schemes during the month under consideration,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5,37,145 crore was mobilised through income/debt oriented schemes,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25,634 crore through growth/equity oriented schemes,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15,177 crore through hybrid schemes,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204 crore through solution oriented schemes and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14,219 crore through other schemes. </w:t>
      </w:r>
    </w:p>
    <w:p w:rsidR="002F2984" w:rsidRPr="009316A0"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9316A0">
        <w:rPr>
          <w:rFonts w:ascii="Palatino Linotype" w:eastAsia="Palatino Linotype" w:hAnsi="Palatino Linotype" w:cs="Palatino Linotype"/>
          <w:color w:val="000000"/>
          <w:sz w:val="22"/>
          <w:szCs w:val="22"/>
        </w:rPr>
        <w:t xml:space="preserve">During May 2021,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17,381 crore were matured/ repurchased</w:t>
      </w:r>
      <w:r w:rsidRPr="009316A0">
        <w:rPr>
          <w:rFonts w:ascii="Palatino Linotype" w:eastAsia="Palatino Linotype" w:hAnsi="Palatino Linotype" w:cs="Palatino Linotype"/>
          <w:color w:val="000000"/>
          <w:sz w:val="22"/>
          <w:szCs w:val="22"/>
          <w:vertAlign w:val="superscript"/>
        </w:rPr>
        <w:footnoteReference w:id="1"/>
      </w:r>
      <w:r w:rsidRPr="009316A0">
        <w:rPr>
          <w:rFonts w:ascii="Palatino Linotype" w:eastAsia="Palatino Linotype" w:hAnsi="Palatino Linotype" w:cs="Palatino Linotype"/>
          <w:color w:val="000000"/>
          <w:sz w:val="22"/>
          <w:szCs w:val="22"/>
        </w:rPr>
        <w:t xml:space="preserve"> by close-ended schemes.  </w:t>
      </w:r>
      <w:r>
        <w:rPr>
          <w:rFonts w:ascii="Palatino Linotype" w:eastAsia="Palatino Linotype" w:hAnsi="Palatino Linotype" w:cs="Palatino Linotype"/>
          <w:color w:val="000000"/>
          <w:sz w:val="22"/>
          <w:szCs w:val="22"/>
        </w:rPr>
        <w:t>I</w:t>
      </w:r>
      <w:r w:rsidRPr="009316A0">
        <w:rPr>
          <w:rFonts w:ascii="Palatino Linotype" w:eastAsia="Palatino Linotype" w:hAnsi="Palatino Linotype" w:cs="Palatino Linotype"/>
          <w:color w:val="000000"/>
          <w:sz w:val="22"/>
          <w:szCs w:val="22"/>
        </w:rPr>
        <w:t xml:space="preserve">nterval schemes worth </w:t>
      </w:r>
      <w:r w:rsidRPr="009316A0">
        <w:rPr>
          <w:rFonts w:ascii="Times New Roman" w:eastAsia="Palatino Linotype" w:hAnsi="Times New Roman"/>
          <w:color w:val="000000"/>
          <w:sz w:val="22"/>
          <w:szCs w:val="22"/>
        </w:rPr>
        <w:t>₹</w:t>
      </w:r>
      <w:r w:rsidRPr="009316A0">
        <w:rPr>
          <w:rFonts w:ascii="Palatino Linotype" w:eastAsia="Palatino Linotype" w:hAnsi="Palatino Linotype" w:cs="Tahoma"/>
          <w:color w:val="000000"/>
          <w:sz w:val="22"/>
          <w:szCs w:val="22"/>
        </w:rPr>
        <w:t>1.17</w:t>
      </w:r>
      <w:r w:rsidRPr="009316A0">
        <w:rPr>
          <w:rFonts w:ascii="Palatino Linotype" w:eastAsia="Palatino Linotype" w:hAnsi="Palatino Linotype" w:cs="Palatino Linotype"/>
          <w:color w:val="000000"/>
          <w:sz w:val="22"/>
          <w:szCs w:val="22"/>
        </w:rPr>
        <w:t xml:space="preserve"> crore were matured/redeemed during the period.  </w:t>
      </w:r>
    </w:p>
    <w:p w:rsidR="002F2984" w:rsidRPr="009316A0"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9316A0">
        <w:rPr>
          <w:rFonts w:ascii="Palatino Linotype" w:eastAsia="Palatino Linotype" w:hAnsi="Palatino Linotype" w:cs="Palatino Linotype"/>
          <w:color w:val="000000"/>
          <w:sz w:val="22"/>
          <w:szCs w:val="22"/>
        </w:rPr>
        <w:t xml:space="preserve">The net assets under management of mutual funds stood at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33.05 lakh crore as at the end of May 2021, an increase of 2.1 per cent from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32.4 </w:t>
      </w:r>
      <w:r w:rsidRPr="009316A0">
        <w:rPr>
          <w:rFonts w:ascii="Times New Roman" w:eastAsia="Palatino Linotype" w:hAnsi="Times New Roman"/>
          <w:color w:val="000000"/>
          <w:sz w:val="22"/>
          <w:szCs w:val="22"/>
        </w:rPr>
        <w:t>lakh crore as at the end of April 2021</w:t>
      </w:r>
      <w:r w:rsidRPr="009316A0">
        <w:rPr>
          <w:rFonts w:ascii="Palatino Linotype" w:eastAsia="Palatino Linotype" w:hAnsi="Palatino Linotype" w:cs="Palatino Linotype"/>
          <w:color w:val="000000"/>
          <w:sz w:val="22"/>
          <w:szCs w:val="22"/>
        </w:rPr>
        <w:t xml:space="preserve">. </w:t>
      </w:r>
    </w:p>
    <w:p w:rsidR="002F2984" w:rsidRPr="00BE3C8E"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357A9">
        <w:rPr>
          <w:rFonts w:ascii="Palatino Linotype" w:eastAsia="Palatino Linotype" w:hAnsi="Palatino Linotype" w:cs="Palatino Linotype"/>
          <w:sz w:val="22"/>
          <w:szCs w:val="22"/>
        </w:rPr>
        <w:t xml:space="preserve">In the secondary market transactions, during </w:t>
      </w:r>
      <w:r>
        <w:rPr>
          <w:rFonts w:ascii="Palatino Linotype" w:eastAsia="Palatino Linotype" w:hAnsi="Palatino Linotype" w:cs="Palatino Linotype"/>
          <w:sz w:val="22"/>
          <w:szCs w:val="22"/>
        </w:rPr>
        <w:t>May</w:t>
      </w:r>
      <w:r w:rsidRPr="002357A9">
        <w:rPr>
          <w:rFonts w:ascii="Palatino Linotype" w:eastAsia="Palatino Linotype" w:hAnsi="Palatino Linotype" w:cs="Palatino Linotype"/>
          <w:sz w:val="22"/>
          <w:szCs w:val="22"/>
        </w:rPr>
        <w:t xml:space="preserve"> 2021, mutual funds deployed </w:t>
      </w:r>
      <w:r>
        <w:rPr>
          <w:rFonts w:ascii="Times New Roman" w:eastAsia="Palatino Linotype" w:hAnsi="Times New Roman"/>
          <w:sz w:val="22"/>
          <w:szCs w:val="22"/>
        </w:rPr>
        <w:t>₹</w:t>
      </w:r>
      <w:r>
        <w:rPr>
          <w:rFonts w:ascii="Palatino Linotype" w:eastAsia="Palatino Linotype" w:hAnsi="Palatino Linotype" w:cs="Palatino Linotype"/>
          <w:sz w:val="22"/>
          <w:szCs w:val="22"/>
        </w:rPr>
        <w:t>47</w:t>
      </w:r>
      <w:r w:rsidRPr="00D8526D">
        <w:rPr>
          <w:rFonts w:ascii="Palatino Linotype" w:eastAsia="Palatino Linotype" w:hAnsi="Palatino Linotype" w:cs="Palatino Linotype"/>
          <w:sz w:val="22"/>
          <w:szCs w:val="22"/>
        </w:rPr>
        <w:t>6</w:t>
      </w:r>
      <w:r>
        <w:rPr>
          <w:rFonts w:ascii="Palatino Linotype" w:eastAsia="Palatino Linotype" w:hAnsi="Palatino Linotype" w:cs="Palatino Linotype"/>
          <w:sz w:val="22"/>
          <w:szCs w:val="22"/>
        </w:rPr>
        <w:t xml:space="preserve"> </w:t>
      </w:r>
      <w:r w:rsidRPr="002357A9">
        <w:rPr>
          <w:rFonts w:ascii="Palatino Linotype" w:eastAsia="Palatino Linotype" w:hAnsi="Palatino Linotype" w:cs="Palatino Linotype"/>
          <w:sz w:val="22"/>
          <w:szCs w:val="22"/>
        </w:rPr>
        <w:t xml:space="preserve">crore </w:t>
      </w:r>
      <w:r>
        <w:rPr>
          <w:rFonts w:ascii="Palatino Linotype" w:eastAsia="Palatino Linotype" w:hAnsi="Palatino Linotype" w:cs="Palatino Linotype"/>
          <w:sz w:val="22"/>
          <w:szCs w:val="22"/>
        </w:rPr>
        <w:t>in</w:t>
      </w:r>
      <w:r w:rsidRPr="002357A9">
        <w:rPr>
          <w:rFonts w:ascii="Palatino Linotype" w:eastAsia="Palatino Linotype" w:hAnsi="Palatino Linotype" w:cs="Palatino Linotype"/>
          <w:sz w:val="22"/>
          <w:szCs w:val="22"/>
        </w:rPr>
        <w:t xml:space="preserve"> equity schemes and </w:t>
      </w:r>
      <w:r>
        <w:rPr>
          <w:rFonts w:ascii="Times New Roman" w:eastAsia="Palatino Linotype" w:hAnsi="Times New Roman"/>
          <w:sz w:val="22"/>
          <w:szCs w:val="22"/>
        </w:rPr>
        <w:t>₹</w:t>
      </w:r>
      <w:r>
        <w:rPr>
          <w:rFonts w:ascii="Palatino Linotype" w:eastAsia="Palatino Linotype" w:hAnsi="Palatino Linotype" w:cs="Palatino Linotype"/>
          <w:sz w:val="22"/>
          <w:szCs w:val="22"/>
        </w:rPr>
        <w:t>4,23</w:t>
      </w:r>
      <w:r w:rsidRPr="00D8526D">
        <w:rPr>
          <w:rFonts w:ascii="Palatino Linotype" w:eastAsia="Palatino Linotype" w:hAnsi="Palatino Linotype" w:cs="Palatino Linotype"/>
          <w:sz w:val="22"/>
          <w:szCs w:val="22"/>
        </w:rPr>
        <w:t>8</w:t>
      </w:r>
      <w:r>
        <w:rPr>
          <w:rFonts w:ascii="Palatino Linotype" w:eastAsia="Palatino Linotype" w:hAnsi="Palatino Linotype" w:cs="Palatino Linotype"/>
          <w:sz w:val="22"/>
          <w:szCs w:val="22"/>
        </w:rPr>
        <w:t xml:space="preserve"> </w:t>
      </w:r>
      <w:r w:rsidRPr="002357A9">
        <w:rPr>
          <w:rFonts w:ascii="Palatino Linotype" w:eastAsia="Palatino Linotype" w:hAnsi="Palatino Linotype" w:cs="Palatino Linotype"/>
          <w:sz w:val="22"/>
          <w:szCs w:val="22"/>
        </w:rPr>
        <w:t xml:space="preserve">crore in debt schemes. </w:t>
      </w:r>
    </w:p>
    <w:p w:rsidR="002F2984" w:rsidRPr="002357A9" w:rsidRDefault="002F2984" w:rsidP="002F2984">
      <w:pPr>
        <w:pBdr>
          <w:top w:val="nil"/>
          <w:left w:val="nil"/>
          <w:bottom w:val="nil"/>
          <w:right w:val="nil"/>
          <w:between w:val="nil"/>
        </w:pBdr>
        <w:spacing w:line="276" w:lineRule="auto"/>
        <w:rPr>
          <w:rFonts w:ascii="Palatino Linotype" w:eastAsia="Palatino Linotype" w:hAnsi="Palatino Linotype" w:cs="Palatino Linotype"/>
          <w:b/>
          <w:color w:val="2E74B5"/>
          <w:sz w:val="22"/>
          <w:szCs w:val="22"/>
          <w:highlight w:val="yellow"/>
        </w:rPr>
      </w:pP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Figure 11: Trends in Mutual Funds Transactions in Secondary Market (</w:t>
      </w:r>
      <w:r>
        <w:rPr>
          <w:rFonts w:ascii="Arial" w:eastAsia="Palatino Linotype" w:hAnsi="Arial" w:cs="Arial"/>
          <w:b/>
          <w:sz w:val="20"/>
          <w:szCs w:val="22"/>
        </w:rPr>
        <w:t>₹</w:t>
      </w:r>
      <w:r w:rsidRPr="002357A9">
        <w:rPr>
          <w:rFonts w:ascii="Palatino Linotype" w:eastAsia="Palatino Linotype" w:hAnsi="Palatino Linotype" w:cs="Palatino Linotype"/>
          <w:b/>
          <w:sz w:val="22"/>
          <w:szCs w:val="22"/>
        </w:rPr>
        <w:t xml:space="preserve"> crore)</w:t>
      </w: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9316A0">
        <w:rPr>
          <w:noProof/>
          <w:lang w:val="en-IN" w:eastAsia="en-IN" w:bidi="hi-IN"/>
        </w:rPr>
        <w:drawing>
          <wp:inline distT="0" distB="0" distL="0" distR="0">
            <wp:extent cx="5714365" cy="2821305"/>
            <wp:effectExtent l="0" t="0" r="635" b="1714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rsidR="002F2984" w:rsidRPr="002357A9" w:rsidRDefault="002F2984" w:rsidP="002F2984">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2357A9">
        <w:rPr>
          <w:rFonts w:ascii="Palatino Linotype" w:eastAsia="Palatino Linotype" w:hAnsi="Palatino Linotype" w:cs="Palatino Linotype"/>
          <w:b/>
          <w:sz w:val="22"/>
          <w:szCs w:val="22"/>
        </w:rPr>
        <w:t>Trends in Investments by the Foreign Portfolio Investors (FPIs)</w:t>
      </w:r>
    </w:p>
    <w:p w:rsidR="002F2984" w:rsidRPr="002357A9" w:rsidRDefault="002F2984" w:rsidP="002F2984">
      <w:pPr>
        <w:widowControl w:val="0"/>
        <w:tabs>
          <w:tab w:val="left" w:pos="0"/>
        </w:tabs>
        <w:spacing w:line="276" w:lineRule="auto"/>
        <w:ind w:left="360"/>
        <w:jc w:val="both"/>
        <w:rPr>
          <w:rFonts w:ascii="Palatino Linotype" w:eastAsia="Palatino Linotype" w:hAnsi="Palatino Linotype" w:cs="Palatino Linotype"/>
          <w:b/>
          <w:sz w:val="22"/>
          <w:szCs w:val="22"/>
        </w:rPr>
      </w:pPr>
    </w:p>
    <w:p w:rsidR="002F2984" w:rsidRPr="00915E9A"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357A9">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May</w:t>
      </w:r>
      <w:r w:rsidRPr="002357A9">
        <w:rPr>
          <w:rFonts w:ascii="Palatino Linotype" w:eastAsia="Palatino Linotype" w:hAnsi="Palatino Linotype" w:cs="Palatino Linotype"/>
          <w:sz w:val="22"/>
          <w:szCs w:val="22"/>
        </w:rPr>
        <w:t xml:space="preserve"> 2021, FPIs </w:t>
      </w:r>
      <w:r>
        <w:rPr>
          <w:rFonts w:ascii="Palatino Linotype" w:eastAsia="Palatino Linotype" w:hAnsi="Palatino Linotype" w:cs="Palatino Linotype"/>
          <w:sz w:val="22"/>
          <w:szCs w:val="22"/>
        </w:rPr>
        <w:t>withdrew</w:t>
      </w:r>
      <w:r w:rsidRPr="002357A9">
        <w:rPr>
          <w:rFonts w:ascii="Palatino Linotype" w:eastAsia="Palatino Linotype" w:hAnsi="Palatino Linotype" w:cs="Palatino Linotype"/>
          <w:sz w:val="22"/>
          <w:szCs w:val="22"/>
        </w:rPr>
        <w:t xml:space="preserve"> a total of </w:t>
      </w:r>
      <w:r>
        <w:rPr>
          <w:rFonts w:ascii="Times New Roman" w:eastAsia="Palatino Linotype" w:hAnsi="Times New Roman"/>
          <w:sz w:val="22"/>
          <w:szCs w:val="22"/>
        </w:rPr>
        <w:t>₹</w:t>
      </w:r>
      <w:r>
        <w:rPr>
          <w:rFonts w:ascii="Palatino Linotype" w:eastAsia="Palatino Linotype" w:hAnsi="Palatino Linotype" w:cs="Palatino Linotype"/>
          <w:sz w:val="22"/>
          <w:szCs w:val="22"/>
        </w:rPr>
        <w:t xml:space="preserve">1,958 </w:t>
      </w:r>
      <w:r w:rsidRPr="002357A9">
        <w:rPr>
          <w:rFonts w:ascii="Palatino Linotype" w:eastAsia="Palatino Linotype" w:hAnsi="Palatino Linotype" w:cs="Palatino Linotype"/>
          <w:sz w:val="22"/>
          <w:szCs w:val="22"/>
        </w:rPr>
        <w:t xml:space="preserve">crore </w:t>
      </w:r>
      <w:r>
        <w:rPr>
          <w:rFonts w:ascii="Palatino Linotype" w:eastAsia="Palatino Linotype" w:hAnsi="Palatino Linotype" w:cs="Palatino Linotype"/>
          <w:sz w:val="22"/>
          <w:szCs w:val="22"/>
        </w:rPr>
        <w:t>from</w:t>
      </w:r>
      <w:r w:rsidRPr="002357A9">
        <w:rPr>
          <w:rFonts w:ascii="Palatino Linotype" w:eastAsia="Palatino Linotype" w:hAnsi="Palatino Linotype" w:cs="Palatino Linotype"/>
          <w:sz w:val="22"/>
          <w:szCs w:val="22"/>
        </w:rPr>
        <w:t xml:space="preserve"> the Indian securities market compared to </w:t>
      </w:r>
      <w:r>
        <w:rPr>
          <w:rFonts w:ascii="Palatino Linotype" w:eastAsia="Palatino Linotype" w:hAnsi="Palatino Linotype" w:cs="Palatino Linotype"/>
          <w:sz w:val="22"/>
          <w:szCs w:val="22"/>
        </w:rPr>
        <w:t>a withdrawal</w:t>
      </w:r>
      <w:r w:rsidRPr="002357A9">
        <w:rPr>
          <w:rFonts w:ascii="Palatino Linotype" w:eastAsia="Palatino Linotype" w:hAnsi="Palatino Linotype" w:cs="Palatino Linotype"/>
          <w:sz w:val="22"/>
          <w:szCs w:val="22"/>
        </w:rPr>
        <w:t xml:space="preserve"> of </w:t>
      </w:r>
      <w:r>
        <w:rPr>
          <w:rFonts w:ascii="Times New Roman" w:eastAsia="Palatino Linotype" w:hAnsi="Times New Roman"/>
          <w:sz w:val="22"/>
          <w:szCs w:val="22"/>
        </w:rPr>
        <w:t>₹</w:t>
      </w:r>
      <w:r w:rsidRPr="00ED7F87">
        <w:rPr>
          <w:rFonts w:ascii="Palatino Linotype" w:eastAsia="Palatino Linotype" w:hAnsi="Palatino Linotype" w:cs="Palatino Linotype"/>
          <w:sz w:val="22"/>
          <w:szCs w:val="22"/>
        </w:rPr>
        <w:t>8,836</w:t>
      </w:r>
      <w:r>
        <w:rPr>
          <w:rFonts w:ascii="Palatino Linotype" w:eastAsia="Palatino Linotype" w:hAnsi="Palatino Linotype" w:cs="Palatino Linotype"/>
          <w:sz w:val="22"/>
          <w:szCs w:val="22"/>
        </w:rPr>
        <w:t xml:space="preserve"> </w:t>
      </w:r>
      <w:r w:rsidRPr="00ED7F87">
        <w:rPr>
          <w:rFonts w:ascii="Times New Roman" w:eastAsia="Palatino Linotype" w:hAnsi="Times New Roman"/>
          <w:sz w:val="22"/>
          <w:szCs w:val="22"/>
        </w:rPr>
        <w:t xml:space="preserve">crore </w:t>
      </w:r>
      <w:r w:rsidRPr="002357A9">
        <w:rPr>
          <w:rFonts w:ascii="Palatino Linotype" w:eastAsia="Palatino Linotype" w:hAnsi="Palatino Linotype" w:cs="Palatino Linotype"/>
          <w:sz w:val="22"/>
          <w:szCs w:val="22"/>
        </w:rPr>
        <w:t xml:space="preserve">in </w:t>
      </w:r>
      <w:r>
        <w:rPr>
          <w:rFonts w:ascii="Palatino Linotype" w:eastAsia="Palatino Linotype" w:hAnsi="Palatino Linotype" w:cs="Palatino Linotype"/>
          <w:sz w:val="22"/>
          <w:szCs w:val="22"/>
        </w:rPr>
        <w:t>April 2021</w:t>
      </w:r>
      <w:r w:rsidRPr="002357A9">
        <w:rPr>
          <w:rFonts w:ascii="Palatino Linotype" w:eastAsia="Palatino Linotype" w:hAnsi="Palatino Linotype" w:cs="Palatino Linotype"/>
          <w:sz w:val="22"/>
          <w:szCs w:val="22"/>
        </w:rPr>
        <w:t xml:space="preserve">. During </w:t>
      </w:r>
      <w:r>
        <w:rPr>
          <w:rFonts w:ascii="Palatino Linotype" w:eastAsia="Palatino Linotype" w:hAnsi="Palatino Linotype" w:cs="Palatino Linotype"/>
          <w:sz w:val="22"/>
          <w:szCs w:val="22"/>
        </w:rPr>
        <w:t>May</w:t>
      </w:r>
      <w:r w:rsidRPr="002357A9">
        <w:rPr>
          <w:rFonts w:ascii="Palatino Linotype" w:eastAsia="Palatino Linotype" w:hAnsi="Palatino Linotype" w:cs="Palatino Linotype"/>
          <w:sz w:val="22"/>
          <w:szCs w:val="22"/>
        </w:rPr>
        <w:t xml:space="preserve"> 2021, FPIs </w:t>
      </w:r>
      <w:r>
        <w:rPr>
          <w:rFonts w:ascii="Palatino Linotype" w:eastAsia="Palatino Linotype" w:hAnsi="Palatino Linotype" w:cs="Palatino Linotype"/>
          <w:sz w:val="22"/>
          <w:szCs w:val="22"/>
        </w:rPr>
        <w:t xml:space="preserve">liquidated </w:t>
      </w:r>
      <w:r>
        <w:rPr>
          <w:rFonts w:ascii="Times New Roman" w:eastAsia="Palatino Linotype" w:hAnsi="Times New Roman"/>
          <w:sz w:val="22"/>
          <w:szCs w:val="22"/>
        </w:rPr>
        <w:t>₹</w:t>
      </w:r>
      <w:r>
        <w:rPr>
          <w:rFonts w:ascii="Palatino Linotype" w:eastAsia="Palatino Linotype" w:hAnsi="Palatino Linotype" w:cs="Palatino Linotype"/>
          <w:sz w:val="22"/>
          <w:szCs w:val="22"/>
        </w:rPr>
        <w:t>2,954</w:t>
      </w:r>
      <w:r w:rsidRPr="00ED7F87">
        <w:rPr>
          <w:rFonts w:ascii="Palatino Linotype" w:eastAsia="Palatino Linotype" w:hAnsi="Palatino Linotype" w:cs="Palatino Linotype"/>
          <w:sz w:val="22"/>
          <w:szCs w:val="22"/>
        </w:rPr>
        <w:t xml:space="preserve"> </w:t>
      </w:r>
      <w:r w:rsidRPr="002357A9">
        <w:rPr>
          <w:rFonts w:ascii="Palatino Linotype" w:eastAsia="Palatino Linotype" w:hAnsi="Palatino Linotype" w:cs="Palatino Linotype"/>
          <w:sz w:val="22"/>
          <w:szCs w:val="22"/>
        </w:rPr>
        <w:t>crore</w:t>
      </w:r>
      <w:r>
        <w:rPr>
          <w:rFonts w:ascii="Palatino Linotype" w:eastAsia="Palatino Linotype" w:hAnsi="Palatino Linotype" w:cs="Palatino Linotype"/>
          <w:sz w:val="22"/>
          <w:szCs w:val="22"/>
        </w:rPr>
        <w:t xml:space="preserve"> from equity and</w:t>
      </w:r>
      <w:r w:rsidRPr="002357A9">
        <w:rPr>
          <w:rFonts w:ascii="Palatino Linotype" w:eastAsia="Palatino Linotype" w:hAnsi="Palatino Linotype" w:cs="Palatino Linotype"/>
          <w:sz w:val="22"/>
          <w:szCs w:val="22"/>
        </w:rPr>
        <w:t xml:space="preserve"> </w:t>
      </w:r>
      <w:r>
        <w:rPr>
          <w:rFonts w:ascii="Arial" w:eastAsia="Palatino Linotype" w:hAnsi="Arial" w:cs="Arial"/>
          <w:b/>
          <w:sz w:val="20"/>
          <w:szCs w:val="22"/>
        </w:rPr>
        <w:t>₹</w:t>
      </w:r>
      <w:r>
        <w:rPr>
          <w:rFonts w:ascii="Palatino Linotype" w:eastAsia="Palatino Linotype" w:hAnsi="Palatino Linotype" w:cs="Palatino Linotype"/>
          <w:sz w:val="22"/>
          <w:szCs w:val="22"/>
        </w:rPr>
        <w:t>1706</w:t>
      </w:r>
      <w:r w:rsidRPr="00ED7F87">
        <w:rPr>
          <w:rFonts w:ascii="Palatino Linotype" w:eastAsia="Palatino Linotype" w:hAnsi="Palatino Linotype" w:cs="Palatino Linotype"/>
          <w:sz w:val="22"/>
          <w:szCs w:val="22"/>
        </w:rPr>
        <w:t xml:space="preserve"> </w:t>
      </w:r>
      <w:r w:rsidRPr="006B1EED">
        <w:rPr>
          <w:rFonts w:ascii="Palatino Linotype" w:eastAsia="Palatino Linotype" w:hAnsi="Palatino Linotype" w:cs="Palatino Linotype"/>
          <w:sz w:val="22"/>
          <w:szCs w:val="22"/>
        </w:rPr>
        <w:t xml:space="preserve">crore </w:t>
      </w:r>
      <w:r>
        <w:rPr>
          <w:rFonts w:ascii="Palatino Linotype" w:eastAsia="Palatino Linotype" w:hAnsi="Palatino Linotype" w:cs="Palatino Linotype"/>
          <w:sz w:val="22"/>
          <w:szCs w:val="22"/>
        </w:rPr>
        <w:t>from</w:t>
      </w:r>
      <w:r w:rsidRPr="006B1EED">
        <w:rPr>
          <w:rFonts w:ascii="Palatino Linotype" w:eastAsia="Palatino Linotype" w:hAnsi="Palatino Linotype" w:cs="Palatino Linotype"/>
          <w:sz w:val="22"/>
          <w:szCs w:val="22"/>
        </w:rPr>
        <w:t xml:space="preserve"> </w:t>
      </w:r>
      <w:r w:rsidRPr="002357A9">
        <w:rPr>
          <w:rFonts w:ascii="Palatino Linotype" w:eastAsia="Palatino Linotype" w:hAnsi="Palatino Linotype" w:cs="Palatino Linotype"/>
          <w:sz w:val="22"/>
          <w:szCs w:val="22"/>
        </w:rPr>
        <w:t>debt</w:t>
      </w:r>
      <w:r>
        <w:rPr>
          <w:rFonts w:ascii="Palatino Linotype" w:eastAsia="Palatino Linotype" w:hAnsi="Palatino Linotype" w:cs="Palatino Linotype"/>
          <w:sz w:val="22"/>
          <w:szCs w:val="22"/>
        </w:rPr>
        <w:t xml:space="preserve"> securities. </w:t>
      </w:r>
      <w:r w:rsidRPr="002357A9">
        <w:rPr>
          <w:rFonts w:ascii="Palatino Linotype" w:eastAsia="Palatino Linotype" w:hAnsi="Palatino Linotype" w:cs="Palatino Linotype"/>
          <w:sz w:val="22"/>
          <w:szCs w:val="22"/>
        </w:rPr>
        <w:t xml:space="preserve"> However, FPIs </w:t>
      </w:r>
      <w:r>
        <w:rPr>
          <w:rFonts w:ascii="Palatino Linotype" w:eastAsia="Palatino Linotype" w:hAnsi="Palatino Linotype" w:cs="Palatino Linotype"/>
          <w:sz w:val="22"/>
          <w:szCs w:val="22"/>
        </w:rPr>
        <w:t>invested</w:t>
      </w:r>
      <w:r w:rsidRPr="002357A9">
        <w:rPr>
          <w:rFonts w:ascii="Palatino Linotype" w:eastAsia="Palatino Linotype" w:hAnsi="Palatino Linotype" w:cs="Palatino Linotype"/>
          <w:sz w:val="22"/>
          <w:szCs w:val="22"/>
        </w:rPr>
        <w:t xml:space="preserve"> </w:t>
      </w:r>
      <w:r>
        <w:rPr>
          <w:rFonts w:ascii="Arial" w:eastAsia="Palatino Linotype" w:hAnsi="Arial" w:cs="Arial"/>
          <w:b/>
          <w:sz w:val="20"/>
          <w:szCs w:val="22"/>
        </w:rPr>
        <w:t>₹</w:t>
      </w:r>
      <w:r>
        <w:rPr>
          <w:rFonts w:ascii="Palatino Linotype" w:eastAsia="Palatino Linotype" w:hAnsi="Palatino Linotype" w:cs="Palatino Linotype"/>
          <w:sz w:val="22"/>
          <w:szCs w:val="22"/>
        </w:rPr>
        <w:t xml:space="preserve">709 crore in hybrid securities and </w:t>
      </w:r>
      <w:r>
        <w:rPr>
          <w:rFonts w:ascii="Arial" w:eastAsia="Palatino Linotype" w:hAnsi="Arial" w:cs="Arial"/>
          <w:b/>
          <w:sz w:val="20"/>
          <w:szCs w:val="22"/>
        </w:rPr>
        <w:t>₹</w:t>
      </w:r>
      <w:r>
        <w:rPr>
          <w:rFonts w:ascii="Palatino Linotype" w:eastAsia="Palatino Linotype" w:hAnsi="Palatino Linotype" w:cs="Palatino Linotype"/>
          <w:sz w:val="22"/>
          <w:szCs w:val="22"/>
        </w:rPr>
        <w:t>1,994</w:t>
      </w:r>
      <w:r w:rsidRPr="00ED7F87">
        <w:rPr>
          <w:rFonts w:ascii="Palatino Linotype" w:eastAsia="Palatino Linotype" w:hAnsi="Palatino Linotype" w:cs="Palatino Linotype"/>
          <w:sz w:val="22"/>
          <w:szCs w:val="22"/>
        </w:rPr>
        <w:t xml:space="preserve"> </w:t>
      </w:r>
      <w:r w:rsidRPr="002357A9">
        <w:rPr>
          <w:rFonts w:ascii="Palatino Linotype" w:eastAsia="Palatino Linotype" w:hAnsi="Palatino Linotype" w:cs="Palatino Linotype"/>
          <w:sz w:val="22"/>
          <w:szCs w:val="22"/>
        </w:rPr>
        <w:t xml:space="preserve">crore </w:t>
      </w:r>
      <w:r>
        <w:rPr>
          <w:rFonts w:ascii="Palatino Linotype" w:eastAsia="Palatino Linotype" w:hAnsi="Palatino Linotype" w:cs="Palatino Linotype"/>
          <w:sz w:val="22"/>
          <w:szCs w:val="22"/>
        </w:rPr>
        <w:t>in</w:t>
      </w:r>
      <w:r w:rsidRPr="002357A9">
        <w:rPr>
          <w:rFonts w:ascii="Palatino Linotype" w:eastAsia="Palatino Linotype" w:hAnsi="Palatino Linotype" w:cs="Palatino Linotype"/>
          <w:sz w:val="22"/>
          <w:szCs w:val="22"/>
        </w:rPr>
        <w:t xml:space="preserve"> </w:t>
      </w:r>
      <w:r w:rsidRPr="00ED7F87">
        <w:rPr>
          <w:rFonts w:ascii="Palatino Linotype" w:eastAsia="Palatino Linotype" w:hAnsi="Palatino Linotype" w:cs="Palatino Linotype"/>
          <w:sz w:val="22"/>
          <w:szCs w:val="22"/>
        </w:rPr>
        <w:t xml:space="preserve">debt-voluntary retention route </w:t>
      </w:r>
      <w:r>
        <w:rPr>
          <w:rFonts w:ascii="Palatino Linotype" w:eastAsia="Palatino Linotype" w:hAnsi="Palatino Linotype" w:cs="Palatino Linotype"/>
          <w:sz w:val="22"/>
          <w:szCs w:val="22"/>
        </w:rPr>
        <w:t xml:space="preserve">during May 2021. </w:t>
      </w:r>
    </w:p>
    <w:p w:rsidR="002F2984" w:rsidRPr="002357A9" w:rsidRDefault="002F2984" w:rsidP="002F2984">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highlight w:val="yellow"/>
        </w:rPr>
      </w:pPr>
    </w:p>
    <w:p w:rsidR="002F2984" w:rsidRPr="007C6AB3"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7C6AB3">
        <w:rPr>
          <w:rFonts w:ascii="Palatino Linotype" w:eastAsia="Palatino Linotype" w:hAnsi="Palatino Linotype" w:cs="Palatino Linotype"/>
          <w:sz w:val="22"/>
          <w:szCs w:val="22"/>
        </w:rPr>
        <w:t xml:space="preserve">The </w:t>
      </w:r>
      <w:r w:rsidRPr="009316A0">
        <w:rPr>
          <w:rFonts w:ascii="Palatino Linotype" w:eastAsia="Palatino Linotype" w:hAnsi="Palatino Linotype" w:cs="Palatino Linotype"/>
          <w:color w:val="000000"/>
          <w:sz w:val="22"/>
          <w:szCs w:val="22"/>
        </w:rPr>
        <w:t xml:space="preserve">assets of FPIs in India, as reported by custodians, as at the end of May 2021 was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47,25,719 crore, out of which the notional value of offshore derivative instruments (ODIs) (including ODIs on derivatives) was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89,743 crore which is 1.9 per cent of total assets of FPIs.  </w:t>
      </w:r>
    </w:p>
    <w:p w:rsidR="002F2984" w:rsidRPr="00E0006F" w:rsidRDefault="002F2984" w:rsidP="002F2984">
      <w:pPr>
        <w:pBdr>
          <w:top w:val="nil"/>
          <w:left w:val="nil"/>
          <w:bottom w:val="nil"/>
          <w:right w:val="nil"/>
          <w:between w:val="nil"/>
        </w:pBdr>
        <w:spacing w:line="276" w:lineRule="auto"/>
        <w:ind w:left="720"/>
        <w:rPr>
          <w:rFonts w:ascii="Palatino Linotype" w:eastAsia="Palatino Linotype" w:hAnsi="Palatino Linotype" w:cs="Palatino Linotype"/>
          <w:b/>
          <w:sz w:val="22"/>
          <w:szCs w:val="22"/>
          <w:highlight w:val="yellow"/>
        </w:rPr>
      </w:pPr>
      <w:r w:rsidRPr="00E0006F">
        <w:rPr>
          <w:rFonts w:ascii="Palatino Linotype" w:eastAsia="Palatino Linotype" w:hAnsi="Palatino Linotype" w:cs="Palatino Linotype"/>
          <w:b/>
          <w:sz w:val="22"/>
          <w:szCs w:val="22"/>
        </w:rPr>
        <w:t>Figure 12: Trends in FPIs’ Investments</w:t>
      </w:r>
    </w:p>
    <w:p w:rsidR="002F2984" w:rsidRPr="002357A9" w:rsidRDefault="002F2984" w:rsidP="002F298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9316A0">
        <w:rPr>
          <w:noProof/>
          <w:lang w:val="en-IN" w:eastAsia="en-IN" w:bidi="hi-IN"/>
        </w:rPr>
        <w:object w:dxaOrig="9908" w:dyaOrig="3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 o:spid="_x0000_i1025" type="#_x0000_t75" style="width:495.75pt;height:196.5pt;visibility:visible" o:ole="">
            <v:imagedata r:id="rId30" o:title=""/>
            <o:lock v:ext="edit" aspectratio="f"/>
          </v:shape>
          <o:OLEObject Type="Embed" ProgID="Excel.Sheet.8" ShapeID="Chart 19" DrawAspect="Content" ObjectID="_1690382400" r:id="rId31">
            <o:FieldCodes>\s</o:FieldCodes>
          </o:OLEObject>
        </w:object>
      </w:r>
    </w:p>
    <w:p w:rsidR="002F2984" w:rsidRDefault="002F2984" w:rsidP="002F2984">
      <w:pP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  Source: CDSL and NSDL</w:t>
      </w:r>
    </w:p>
    <w:p w:rsidR="002F2984" w:rsidRPr="002357A9" w:rsidRDefault="002F2984" w:rsidP="002F2984">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2F2984" w:rsidRPr="002357A9" w:rsidRDefault="002F2984" w:rsidP="002F2984">
      <w:pPr>
        <w:pBdr>
          <w:top w:val="nil"/>
          <w:left w:val="nil"/>
          <w:bottom w:val="nil"/>
          <w:right w:val="nil"/>
          <w:between w:val="nil"/>
        </w:pBdr>
        <w:spacing w:line="276" w:lineRule="auto"/>
        <w:ind w:left="720" w:hanging="720"/>
        <w:rPr>
          <w:rFonts w:ascii="Palatino Linotype" w:eastAsia="Palatino Linotype" w:hAnsi="Palatino Linotype" w:cs="Palatino Linotype"/>
          <w:b/>
          <w:color w:val="222A35"/>
          <w:sz w:val="22"/>
          <w:szCs w:val="22"/>
          <w:highlight w:val="yellow"/>
        </w:rPr>
      </w:pPr>
      <w:bookmarkStart w:id="1" w:name="_30j0zll" w:colFirst="0" w:colLast="0"/>
      <w:bookmarkEnd w:id="1"/>
    </w:p>
    <w:p w:rsidR="002F2984" w:rsidRPr="002357A9" w:rsidRDefault="002F2984" w:rsidP="002F2984">
      <w:pPr>
        <w:widowControl w:val="0"/>
        <w:numPr>
          <w:ilvl w:val="0"/>
          <w:numId w:val="2"/>
        </w:numPr>
        <w:spacing w:line="276" w:lineRule="auto"/>
        <w:ind w:left="567" w:hanging="567"/>
        <w:jc w:val="both"/>
        <w:rPr>
          <w:rFonts w:ascii="Palatino Linotype" w:eastAsia="Palatino Linotype" w:hAnsi="Palatino Linotype" w:cs="Palatino Linotype"/>
          <w:b/>
          <w:color w:val="222A35"/>
          <w:sz w:val="22"/>
          <w:szCs w:val="22"/>
        </w:rPr>
      </w:pPr>
      <w:r w:rsidRPr="002357A9">
        <w:rPr>
          <w:rFonts w:ascii="Palatino Linotype" w:eastAsia="Palatino Linotype" w:hAnsi="Palatino Linotype" w:cs="Palatino Linotype"/>
          <w:b/>
          <w:color w:val="222A35"/>
          <w:sz w:val="22"/>
          <w:szCs w:val="22"/>
        </w:rPr>
        <w:t xml:space="preserve">Trends in Portfolio Management Services </w:t>
      </w:r>
    </w:p>
    <w:p w:rsidR="002F2984" w:rsidRPr="009316A0"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9316A0">
        <w:rPr>
          <w:rFonts w:ascii="Palatino Linotype" w:eastAsia="Palatino Linotype" w:hAnsi="Palatino Linotype" w:cs="Palatino Linotype"/>
          <w:color w:val="000000"/>
          <w:sz w:val="22"/>
          <w:szCs w:val="22"/>
        </w:rPr>
        <w:t xml:space="preserve">As at end of May 2021, AUM of the portfolio management industry stood at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21.3 lakh crore compared to </w:t>
      </w:r>
      <w:r w:rsidRPr="009316A0">
        <w:rPr>
          <w:rFonts w:ascii="Times New Roman" w:eastAsia="Palatino Linotype" w:hAnsi="Times New Roman"/>
          <w:color w:val="000000"/>
          <w:sz w:val="22"/>
          <w:szCs w:val="22"/>
        </w:rPr>
        <w:t>₹</w:t>
      </w:r>
      <w:r w:rsidRPr="009316A0">
        <w:rPr>
          <w:rFonts w:ascii="Palatino Linotype" w:eastAsia="Palatino Linotype" w:hAnsi="Palatino Linotype" w:cs="Palatino Linotype"/>
          <w:color w:val="000000"/>
          <w:sz w:val="22"/>
          <w:szCs w:val="22"/>
        </w:rPr>
        <w:t xml:space="preserve">20.7 lakh crore at the end of April 2021. </w:t>
      </w:r>
    </w:p>
    <w:p w:rsidR="002F2984" w:rsidRPr="009316A0" w:rsidRDefault="002F2984" w:rsidP="002F298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r w:rsidRPr="009316A0">
        <w:rPr>
          <w:rFonts w:ascii="Palatino Linotype" w:eastAsia="Palatino Linotype" w:hAnsi="Palatino Linotype" w:cs="Palatino Linotype"/>
          <w:color w:val="000000"/>
          <w:sz w:val="22"/>
          <w:szCs w:val="22"/>
        </w:rPr>
        <w:t xml:space="preserve">There were 1,28,994 total clients in portfolio management industry as at the end of May 2021, of which 1,19,211 clients belong to discretionary services category, 8,073 clients belong to non-discretionary services category and 1,710 clients belong to advisory services category of portfolio management services.   </w:t>
      </w:r>
    </w:p>
    <w:p w:rsidR="002F2984" w:rsidRPr="001C59C6" w:rsidRDefault="002F2984" w:rsidP="002F2984">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2F2984" w:rsidRPr="002357A9" w:rsidRDefault="002F2984" w:rsidP="002F2984">
      <w:pPr>
        <w:widowControl w:val="0"/>
        <w:numPr>
          <w:ilvl w:val="0"/>
          <w:numId w:val="2"/>
        </w:numPr>
        <w:spacing w:line="276" w:lineRule="auto"/>
        <w:ind w:left="567" w:hanging="567"/>
        <w:rPr>
          <w:rFonts w:ascii="Palatino Linotype" w:eastAsia="Palatino Linotype" w:hAnsi="Palatino Linotype" w:cs="Palatino Linotype"/>
          <w:b/>
          <w:color w:val="222A35"/>
          <w:sz w:val="22"/>
          <w:szCs w:val="22"/>
        </w:rPr>
      </w:pPr>
      <w:r w:rsidRPr="002357A9">
        <w:rPr>
          <w:rFonts w:ascii="Palatino Linotype" w:eastAsia="Palatino Linotype" w:hAnsi="Palatino Linotype" w:cs="Palatino Linotype"/>
          <w:b/>
          <w:color w:val="222A35"/>
          <w:sz w:val="22"/>
          <w:szCs w:val="22"/>
        </w:rPr>
        <w:t>Trends in Substantial Acquisition of Shares and Takeovers</w:t>
      </w:r>
    </w:p>
    <w:p w:rsidR="002F2984" w:rsidRPr="002357A9" w:rsidRDefault="002F2984" w:rsidP="002F2984">
      <w:pPr>
        <w:jc w:val="both"/>
        <w:rPr>
          <w:rFonts w:ascii="Palatino Linotype" w:eastAsia="Palatino Linotype" w:hAnsi="Palatino Linotype" w:cs="Palatino Linotype"/>
          <w:sz w:val="22"/>
          <w:szCs w:val="22"/>
        </w:rPr>
      </w:pPr>
    </w:p>
    <w:p w:rsidR="002F2984" w:rsidRDefault="002F2984" w:rsidP="002F2984">
      <w:pPr>
        <w:jc w:val="both"/>
        <w:rPr>
          <w:rFonts w:ascii="Palatino Linotype" w:eastAsia="Times New Roman" w:hAnsi="Palatino Linotype" w:cs="Garamond"/>
          <w:color w:val="000000"/>
          <w:sz w:val="22"/>
          <w:szCs w:val="22"/>
        </w:rPr>
      </w:pPr>
      <w:r w:rsidRPr="00E0006F">
        <w:rPr>
          <w:rFonts w:ascii="Palatino Linotype" w:eastAsia="Palatino Linotype" w:hAnsi="Palatino Linotype" w:cs="Palatino Linotype"/>
          <w:sz w:val="22"/>
          <w:szCs w:val="22"/>
        </w:rPr>
        <w:t xml:space="preserve">During </w:t>
      </w:r>
      <w:r>
        <w:rPr>
          <w:rFonts w:ascii="Palatino Linotype" w:eastAsia="Palatino Linotype" w:hAnsi="Palatino Linotype" w:cs="Palatino Linotype"/>
          <w:sz w:val="22"/>
          <w:szCs w:val="22"/>
        </w:rPr>
        <w:t>May</w:t>
      </w:r>
      <w:r w:rsidRPr="00E0006F">
        <w:rPr>
          <w:rFonts w:ascii="Palatino Linotype" w:eastAsia="Palatino Linotype" w:hAnsi="Palatino Linotype" w:cs="Palatino Linotype"/>
          <w:sz w:val="22"/>
          <w:szCs w:val="22"/>
        </w:rPr>
        <w:t xml:space="preserve"> 2021,</w:t>
      </w:r>
      <w:r>
        <w:rPr>
          <w:rFonts w:ascii="Palatino Linotype" w:eastAsia="Palatino Linotype" w:hAnsi="Palatino Linotype" w:cs="Palatino Linotype"/>
          <w:sz w:val="22"/>
          <w:szCs w:val="22"/>
        </w:rPr>
        <w:t xml:space="preserve"> three</w:t>
      </w:r>
      <w:r w:rsidRPr="00E0006F">
        <w:rPr>
          <w:rFonts w:ascii="Palatino Linotype" w:eastAsia="Palatino Linotype" w:hAnsi="Palatino Linotype" w:cs="Palatino Linotype"/>
          <w:sz w:val="22"/>
          <w:szCs w:val="22"/>
        </w:rPr>
        <w:t xml:space="preserve"> open offers with offer value of </w:t>
      </w:r>
      <w:r>
        <w:rPr>
          <w:rFonts w:ascii="Times New Roman" w:eastAsia="Palatino Linotype" w:hAnsi="Times New Roman"/>
          <w:sz w:val="22"/>
          <w:szCs w:val="22"/>
        </w:rPr>
        <w:t>₹</w:t>
      </w:r>
      <w:r>
        <w:rPr>
          <w:rFonts w:ascii="Palatino Linotype" w:eastAsia="Palatino Linotype" w:hAnsi="Palatino Linotype" w:cs="Palatino Linotype"/>
          <w:sz w:val="22"/>
          <w:szCs w:val="22"/>
        </w:rPr>
        <w:t>1</w:t>
      </w:r>
      <w:r w:rsidR="00926034">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400</w:t>
      </w:r>
      <w:r w:rsidRPr="00E0006F">
        <w:rPr>
          <w:rFonts w:ascii="Palatino Linotype" w:eastAsia="Palatino Linotype" w:hAnsi="Palatino Linotype" w:cs="Palatino Linotype"/>
          <w:sz w:val="22"/>
          <w:szCs w:val="22"/>
        </w:rPr>
        <w:t xml:space="preserve"> crore were closed </w:t>
      </w:r>
      <w:r w:rsidRPr="00E0006F">
        <w:rPr>
          <w:rFonts w:ascii="Palatino Linotype" w:eastAsia="Palatino Linotype" w:hAnsi="Palatino Linotype" w:cs="Palatino Linotype"/>
          <w:color w:val="222A35"/>
          <w:sz w:val="22"/>
          <w:szCs w:val="22"/>
        </w:rPr>
        <w:t xml:space="preserve">under SEBI (Substantial Acquisition of Shares and Takeover) Regulations, 2011 (SAST Regulations) </w:t>
      </w:r>
      <w:r w:rsidRPr="00E0006F">
        <w:rPr>
          <w:rFonts w:ascii="Palatino Linotype" w:eastAsia="Palatino Linotype" w:hAnsi="Palatino Linotype" w:cs="Palatino Linotype"/>
          <w:sz w:val="22"/>
          <w:szCs w:val="22"/>
        </w:rPr>
        <w:t xml:space="preserve">as against </w:t>
      </w:r>
      <w:r>
        <w:rPr>
          <w:rFonts w:ascii="Palatino Linotype" w:eastAsia="Palatino Linotype" w:hAnsi="Palatino Linotype" w:cs="Palatino Linotype"/>
          <w:sz w:val="22"/>
          <w:szCs w:val="22"/>
        </w:rPr>
        <w:t>six</w:t>
      </w:r>
      <w:r w:rsidRPr="00E0006F">
        <w:rPr>
          <w:rFonts w:ascii="Palatino Linotype" w:eastAsia="Palatino Linotype" w:hAnsi="Palatino Linotype" w:cs="Palatino Linotype"/>
          <w:sz w:val="22"/>
          <w:szCs w:val="22"/>
        </w:rPr>
        <w:t xml:space="preserve"> open offers with offer value of </w:t>
      </w:r>
      <w:r>
        <w:rPr>
          <w:rFonts w:ascii="Times New Roman" w:eastAsia="Palatino Linotype" w:hAnsi="Times New Roman"/>
          <w:sz w:val="22"/>
          <w:szCs w:val="22"/>
        </w:rPr>
        <w:t>₹</w:t>
      </w:r>
      <w:r>
        <w:rPr>
          <w:rFonts w:ascii="Palatino Linotype" w:eastAsia="Palatino Linotype" w:hAnsi="Palatino Linotype" w:cs="Palatino Linotype"/>
          <w:sz w:val="22"/>
          <w:szCs w:val="22"/>
        </w:rPr>
        <w:t>5,975</w:t>
      </w:r>
      <w:r w:rsidRPr="00E0006F">
        <w:rPr>
          <w:rFonts w:ascii="Palatino Linotype" w:eastAsia="Palatino Linotype" w:hAnsi="Palatino Linotype" w:cs="Palatino Linotype"/>
          <w:sz w:val="22"/>
          <w:szCs w:val="22"/>
        </w:rPr>
        <w:t xml:space="preserve"> crore in </w:t>
      </w:r>
      <w:r>
        <w:rPr>
          <w:rFonts w:ascii="Palatino Linotype" w:eastAsia="Palatino Linotype" w:hAnsi="Palatino Linotype" w:cs="Palatino Linotype"/>
          <w:sz w:val="22"/>
          <w:szCs w:val="22"/>
        </w:rPr>
        <w:t>April 2021</w:t>
      </w:r>
      <w:r w:rsidRPr="00E0006F">
        <w:rPr>
          <w:rFonts w:ascii="Palatino Linotype" w:eastAsia="Palatino Linotype" w:hAnsi="Palatino Linotype" w:cs="Palatino Linotype"/>
          <w:color w:val="222A35"/>
          <w:sz w:val="22"/>
          <w:szCs w:val="22"/>
        </w:rPr>
        <w:t xml:space="preserve">. </w:t>
      </w:r>
      <w:r w:rsidRPr="009316A0">
        <w:rPr>
          <w:rFonts w:ascii="Palatino Linotype" w:eastAsia="Times New Roman" w:hAnsi="Palatino Linotype" w:cs="Garamond"/>
          <w:color w:val="000000"/>
          <w:sz w:val="22"/>
          <w:szCs w:val="22"/>
        </w:rPr>
        <w:t xml:space="preserve">All three open offers were for change in control of management. </w:t>
      </w:r>
    </w:p>
    <w:p w:rsidR="002F2984" w:rsidRPr="009316A0" w:rsidRDefault="002F2984" w:rsidP="002F2984">
      <w:pPr>
        <w:jc w:val="both"/>
        <w:rPr>
          <w:rFonts w:ascii="Palatino Linotype" w:eastAsia="Times New Roman" w:hAnsi="Palatino Linotype" w:cs="Garamond"/>
          <w:color w:val="000000"/>
          <w:sz w:val="22"/>
          <w:szCs w:val="22"/>
        </w:rPr>
      </w:pPr>
    </w:p>
    <w:p w:rsidR="002F2984" w:rsidRPr="002357A9" w:rsidRDefault="002F2984" w:rsidP="002F2984">
      <w:pPr>
        <w:jc w:val="center"/>
        <w:rPr>
          <w:rFonts w:ascii="Palatino Linotype" w:eastAsia="Palatino Linotype" w:hAnsi="Palatino Linotype" w:cs="Palatino Linotype"/>
          <w:b/>
          <w:color w:val="222A35"/>
          <w:sz w:val="22"/>
          <w:szCs w:val="22"/>
        </w:rPr>
      </w:pPr>
      <w:r w:rsidRPr="002357A9">
        <w:rPr>
          <w:rFonts w:ascii="Palatino Linotype" w:eastAsia="Palatino Linotype" w:hAnsi="Palatino Linotype" w:cs="Palatino Linotype"/>
          <w:b/>
          <w:color w:val="222A35"/>
          <w:sz w:val="22"/>
          <w:szCs w:val="22"/>
        </w:rPr>
        <w:t>Figure 13: Details of Open Offers Closed under the SEBI (SAST) Regulations</w:t>
      </w:r>
    </w:p>
    <w:p w:rsidR="002F2984" w:rsidRPr="004634F2" w:rsidRDefault="002F2984" w:rsidP="002F2984">
      <w:pPr>
        <w:spacing w:line="276" w:lineRule="auto"/>
        <w:jc w:val="center"/>
        <w:rPr>
          <w:rFonts w:ascii="Palatino Linotype" w:eastAsia="Palatino Linotype" w:hAnsi="Palatino Linotype" w:cs="Palatino Linotype"/>
          <w:b/>
          <w:color w:val="222A35"/>
          <w:sz w:val="22"/>
          <w:szCs w:val="22"/>
          <w:highlight w:val="yellow"/>
        </w:rPr>
      </w:pPr>
      <w:r w:rsidRPr="009316A0">
        <w:rPr>
          <w:noProof/>
          <w:lang w:val="en-IN" w:eastAsia="en-IN" w:bidi="hi-IN"/>
        </w:rPr>
        <w:drawing>
          <wp:inline distT="0" distB="0" distL="0" distR="0">
            <wp:extent cx="5604510" cy="2739390"/>
            <wp:effectExtent l="0" t="0" r="15240" b="381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B1F08" w:rsidRDefault="003B1F08" w:rsidP="003F4581">
      <w:pPr>
        <w:widowControl w:val="0"/>
        <w:ind w:left="-284"/>
        <w:jc w:val="both"/>
        <w:rPr>
          <w:rFonts w:ascii="Palatino Linotype" w:hAnsi="Palatino Linotype"/>
          <w:b/>
          <w:color w:val="0F0684"/>
        </w:rPr>
      </w:pPr>
    </w:p>
    <w:p w:rsidR="003B1F08" w:rsidRDefault="003B1F08" w:rsidP="003F4581">
      <w:pPr>
        <w:widowControl w:val="0"/>
        <w:ind w:left="-284"/>
        <w:jc w:val="both"/>
        <w:rPr>
          <w:rFonts w:ascii="Palatino Linotype" w:hAnsi="Palatino Linotype"/>
          <w:b/>
          <w:color w:val="0F0684"/>
        </w:rPr>
      </w:pPr>
    </w:p>
    <w:p w:rsidR="003B1F08" w:rsidRDefault="003B1F08" w:rsidP="003F4581">
      <w:pPr>
        <w:widowControl w:val="0"/>
        <w:ind w:left="-284"/>
        <w:jc w:val="both"/>
        <w:rPr>
          <w:rFonts w:ascii="Palatino Linotype" w:hAnsi="Palatino Linotype"/>
          <w:b/>
          <w:color w:val="0F0684"/>
        </w:rPr>
      </w:pPr>
    </w:p>
    <w:p w:rsidR="003F4581" w:rsidRPr="00B92D2D" w:rsidRDefault="003F4581" w:rsidP="003F4581">
      <w:pPr>
        <w:widowControl w:val="0"/>
        <w:ind w:left="-284"/>
        <w:jc w:val="both"/>
        <w:rPr>
          <w:rFonts w:ascii="Palatino Linotype" w:eastAsia="Times New Roman" w:hAnsi="Palatino Linotype"/>
          <w:b/>
          <w:color w:val="0F0684"/>
        </w:rPr>
      </w:pPr>
      <w:r w:rsidRPr="00B92D2D">
        <w:rPr>
          <w:rFonts w:ascii="Palatino Linotype" w:hAnsi="Palatino Linotype"/>
          <w:b/>
          <w:color w:val="0F0684"/>
        </w:rPr>
        <w:t>IX.</w:t>
      </w:r>
      <w:r>
        <w:rPr>
          <w:rFonts w:ascii="Palatino Linotype" w:hAnsi="Palatino Linotype"/>
          <w:b/>
          <w:color w:val="0F0684"/>
        </w:rPr>
        <w:t xml:space="preserve">     Commodity </w:t>
      </w:r>
      <w:r w:rsidRPr="00B92D2D">
        <w:rPr>
          <w:rFonts w:ascii="Palatino Linotype" w:hAnsi="Palatino Linotype"/>
          <w:b/>
          <w:color w:val="0F0684"/>
        </w:rPr>
        <w:t>Derivatives Markets</w:t>
      </w:r>
    </w:p>
    <w:p w:rsidR="003F4581" w:rsidRPr="00B92D2D" w:rsidRDefault="003F4581" w:rsidP="003F4581">
      <w:pPr>
        <w:pStyle w:val="ListParagraph"/>
        <w:spacing w:after="0" w:line="240" w:lineRule="auto"/>
        <w:jc w:val="both"/>
        <w:rPr>
          <w:rFonts w:ascii="Palatino Linotype" w:eastAsia="Times New Roman" w:hAnsi="Palatino Linotype"/>
          <w:b/>
          <w:color w:val="000000"/>
          <w:sz w:val="22"/>
          <w:szCs w:val="22"/>
        </w:rPr>
      </w:pPr>
    </w:p>
    <w:p w:rsidR="003F4581" w:rsidRPr="00B92D2D" w:rsidRDefault="003F4581" w:rsidP="003F4581">
      <w:pPr>
        <w:pStyle w:val="ListParagraph"/>
        <w:numPr>
          <w:ilvl w:val="0"/>
          <w:numId w:val="12"/>
        </w:numPr>
        <w:spacing w:after="0" w:line="240" w:lineRule="auto"/>
        <w:ind w:left="-284" w:firstLine="0"/>
        <w:jc w:val="both"/>
        <w:rPr>
          <w:rFonts w:ascii="Palatino Linotype" w:eastAsia="Times New Roman" w:hAnsi="Palatino Linotype"/>
          <w:b/>
          <w:color w:val="000000"/>
          <w:sz w:val="22"/>
          <w:szCs w:val="22"/>
        </w:rPr>
      </w:pPr>
      <w:r>
        <w:rPr>
          <w:rFonts w:ascii="Palatino Linotype" w:eastAsia="Times New Roman" w:hAnsi="Palatino Linotype"/>
          <w:b/>
          <w:color w:val="000000"/>
          <w:sz w:val="22"/>
          <w:szCs w:val="22"/>
        </w:rPr>
        <w:t xml:space="preserve">      </w:t>
      </w:r>
      <w:r w:rsidRPr="00B92D2D">
        <w:rPr>
          <w:rFonts w:ascii="Palatino Linotype" w:eastAsia="Times New Roman" w:hAnsi="Palatino Linotype"/>
          <w:b/>
          <w:color w:val="000000"/>
          <w:sz w:val="22"/>
          <w:szCs w:val="22"/>
        </w:rPr>
        <w:t>Market Trends</w:t>
      </w:r>
    </w:p>
    <w:p w:rsidR="003F4581" w:rsidRPr="00B92D2D" w:rsidRDefault="003F4581" w:rsidP="003F4581">
      <w:pPr>
        <w:pStyle w:val="ListParagraph"/>
        <w:spacing w:after="0" w:line="240" w:lineRule="auto"/>
        <w:jc w:val="both"/>
        <w:rPr>
          <w:rFonts w:ascii="Palatino Linotype" w:hAnsi="Palatino Linotype"/>
          <w:sz w:val="22"/>
          <w:szCs w:val="22"/>
        </w:rPr>
      </w:pPr>
    </w:p>
    <w:p w:rsidR="003F4581" w:rsidRPr="00B92D2D" w:rsidRDefault="003F4581" w:rsidP="003F4581">
      <w:pPr>
        <w:pStyle w:val="ListParagraph"/>
        <w:numPr>
          <w:ilvl w:val="0"/>
          <w:numId w:val="13"/>
        </w:numPr>
        <w:tabs>
          <w:tab w:val="left" w:pos="720"/>
        </w:tabs>
        <w:spacing w:after="0" w:line="240" w:lineRule="auto"/>
        <w:ind w:hanging="668"/>
        <w:jc w:val="both"/>
        <w:rPr>
          <w:rFonts w:ascii="Palatino Linotype" w:hAnsi="Palatino Linotype"/>
          <w:sz w:val="22"/>
          <w:szCs w:val="22"/>
        </w:rPr>
      </w:pPr>
      <w:r w:rsidRPr="00B92D2D">
        <w:rPr>
          <w:rFonts w:ascii="Palatino Linotype" w:hAnsi="Palatino Linotype"/>
          <w:sz w:val="22"/>
          <w:szCs w:val="22"/>
        </w:rPr>
        <w:t>Durin</w:t>
      </w:r>
      <w:r>
        <w:rPr>
          <w:rFonts w:ascii="Palatino Linotype" w:hAnsi="Palatino Linotype"/>
          <w:sz w:val="22"/>
          <w:szCs w:val="22"/>
        </w:rPr>
        <w:t xml:space="preserve">g May </w:t>
      </w:r>
      <w:r w:rsidRPr="00B92D2D">
        <w:rPr>
          <w:rFonts w:ascii="Palatino Linotype" w:hAnsi="Palatino Linotype"/>
          <w:sz w:val="22"/>
          <w:szCs w:val="22"/>
        </w:rPr>
        <w:t>202</w:t>
      </w:r>
      <w:r>
        <w:rPr>
          <w:rFonts w:ascii="Palatino Linotype" w:hAnsi="Palatino Linotype"/>
          <w:sz w:val="22"/>
          <w:szCs w:val="22"/>
        </w:rPr>
        <w:t>1</w:t>
      </w:r>
      <w:r w:rsidRPr="00B92D2D">
        <w:rPr>
          <w:rFonts w:ascii="Palatino Linotype" w:hAnsi="Palatino Linotype"/>
          <w:sz w:val="22"/>
          <w:szCs w:val="22"/>
        </w:rPr>
        <w:t>, MCX iCOMDEX composite index witnessed a</w:t>
      </w:r>
      <w:r>
        <w:rPr>
          <w:rFonts w:ascii="Palatino Linotype" w:hAnsi="Palatino Linotype"/>
          <w:sz w:val="22"/>
          <w:szCs w:val="22"/>
        </w:rPr>
        <w:t>n</w:t>
      </w:r>
      <w:r w:rsidRPr="00B92D2D">
        <w:rPr>
          <w:rFonts w:ascii="Palatino Linotype" w:hAnsi="Palatino Linotype"/>
          <w:sz w:val="22"/>
          <w:szCs w:val="22"/>
        </w:rPr>
        <w:t xml:space="preserve"> </w:t>
      </w:r>
      <w:r>
        <w:rPr>
          <w:rFonts w:ascii="Palatino Linotype" w:hAnsi="Palatino Linotype"/>
          <w:sz w:val="22"/>
          <w:szCs w:val="22"/>
        </w:rPr>
        <w:t>increase</w:t>
      </w:r>
      <w:r w:rsidRPr="00B92D2D">
        <w:rPr>
          <w:rFonts w:ascii="Palatino Linotype" w:hAnsi="Palatino Linotype"/>
          <w:sz w:val="22"/>
          <w:szCs w:val="22"/>
        </w:rPr>
        <w:t xml:space="preserve"> of </w:t>
      </w:r>
      <w:r>
        <w:rPr>
          <w:rFonts w:ascii="Palatino Linotype" w:hAnsi="Palatino Linotype"/>
          <w:sz w:val="22"/>
          <w:szCs w:val="22"/>
        </w:rPr>
        <w:t>3</w:t>
      </w:r>
      <w:r w:rsidRPr="00B92D2D">
        <w:rPr>
          <w:rFonts w:ascii="Palatino Linotype" w:hAnsi="Palatino Linotype"/>
          <w:sz w:val="22"/>
          <w:szCs w:val="22"/>
        </w:rPr>
        <w:t xml:space="preserve"> per cent (M-o-M)</w:t>
      </w:r>
      <w:r>
        <w:rPr>
          <w:rFonts w:ascii="Palatino Linotype" w:hAnsi="Palatino Linotype"/>
          <w:sz w:val="22"/>
          <w:szCs w:val="22"/>
        </w:rPr>
        <w:t>.  This increase was</w:t>
      </w:r>
      <w:r w:rsidRPr="00B92D2D">
        <w:rPr>
          <w:rFonts w:ascii="Palatino Linotype" w:hAnsi="Palatino Linotype"/>
          <w:sz w:val="22"/>
          <w:szCs w:val="22"/>
        </w:rPr>
        <w:t xml:space="preserve"> driven by futures prices of </w:t>
      </w:r>
      <w:r>
        <w:rPr>
          <w:rFonts w:ascii="Palatino Linotype" w:hAnsi="Palatino Linotype"/>
          <w:sz w:val="22"/>
          <w:szCs w:val="22"/>
        </w:rPr>
        <w:t xml:space="preserve">energy, bullion, </w:t>
      </w:r>
      <w:r w:rsidRPr="00B92D2D">
        <w:rPr>
          <w:rFonts w:ascii="Palatino Linotype" w:hAnsi="Palatino Linotype"/>
          <w:sz w:val="22"/>
          <w:szCs w:val="22"/>
        </w:rPr>
        <w:t>base metals</w:t>
      </w:r>
      <w:r>
        <w:rPr>
          <w:rFonts w:ascii="Palatino Linotype" w:hAnsi="Palatino Linotype"/>
          <w:sz w:val="22"/>
          <w:szCs w:val="22"/>
        </w:rPr>
        <w:t xml:space="preserve"> (copper and zinc) and </w:t>
      </w:r>
      <w:r w:rsidRPr="00B92D2D">
        <w:rPr>
          <w:rFonts w:ascii="Palatino Linotype" w:hAnsi="Palatino Linotype"/>
          <w:sz w:val="22"/>
          <w:szCs w:val="22"/>
        </w:rPr>
        <w:t>agri</w:t>
      </w:r>
      <w:r>
        <w:rPr>
          <w:rFonts w:ascii="Palatino Linotype" w:hAnsi="Palatino Linotype"/>
          <w:sz w:val="22"/>
          <w:szCs w:val="22"/>
        </w:rPr>
        <w:t>. (cotton and rubber)</w:t>
      </w:r>
      <w:r w:rsidRPr="00B92D2D">
        <w:rPr>
          <w:rFonts w:ascii="Palatino Linotype" w:hAnsi="Palatino Linotype"/>
          <w:sz w:val="22"/>
          <w:szCs w:val="22"/>
        </w:rPr>
        <w:t xml:space="preserve"> segment</w:t>
      </w:r>
      <w:r>
        <w:rPr>
          <w:rFonts w:ascii="Palatino Linotype" w:hAnsi="Palatino Linotype"/>
          <w:sz w:val="22"/>
          <w:szCs w:val="22"/>
        </w:rPr>
        <w:t>s</w:t>
      </w:r>
      <w:r w:rsidRPr="00B92D2D">
        <w:rPr>
          <w:rFonts w:ascii="Palatino Linotype" w:hAnsi="Palatino Linotype"/>
          <w:sz w:val="22"/>
          <w:szCs w:val="22"/>
        </w:rPr>
        <w:t>. O</w:t>
      </w:r>
      <w:r w:rsidRPr="00B92D2D">
        <w:rPr>
          <w:rFonts w:ascii="Palatino Linotype" w:eastAsia="Times New Roman" w:hAnsi="Palatino Linotype"/>
          <w:color w:val="000000"/>
          <w:sz w:val="22"/>
          <w:szCs w:val="22"/>
        </w:rPr>
        <w:t xml:space="preserve">n Y-o-Y basis, MCX iCOMDEX composite index </w:t>
      </w:r>
      <w:r>
        <w:rPr>
          <w:rFonts w:ascii="Palatino Linotype" w:eastAsia="Times New Roman" w:hAnsi="Palatino Linotype"/>
          <w:color w:val="000000"/>
          <w:sz w:val="22"/>
          <w:szCs w:val="22"/>
        </w:rPr>
        <w:t>in</w:t>
      </w:r>
      <w:r w:rsidRPr="00B92D2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31.6</w:t>
      </w:r>
      <w:r w:rsidRPr="00B92D2D">
        <w:rPr>
          <w:rFonts w:ascii="Palatino Linotype" w:eastAsia="Times New Roman" w:hAnsi="Palatino Linotype"/>
          <w:color w:val="000000"/>
          <w:sz w:val="22"/>
          <w:szCs w:val="22"/>
        </w:rPr>
        <w:t xml:space="preserve"> per cent. </w:t>
      </w:r>
    </w:p>
    <w:p w:rsidR="003F4581" w:rsidRPr="00F4237D" w:rsidRDefault="003F4581" w:rsidP="003F4581">
      <w:pPr>
        <w:pStyle w:val="ListParagraph"/>
        <w:numPr>
          <w:ilvl w:val="0"/>
          <w:numId w:val="13"/>
        </w:numPr>
        <w:tabs>
          <w:tab w:val="left" w:pos="720"/>
        </w:tabs>
        <w:spacing w:after="0" w:line="240" w:lineRule="auto"/>
        <w:ind w:hanging="668"/>
        <w:jc w:val="both"/>
        <w:rPr>
          <w:rFonts w:ascii="Palatino Linotype" w:hAnsi="Palatino Linotype"/>
          <w:sz w:val="22"/>
          <w:szCs w:val="22"/>
        </w:rPr>
      </w:pPr>
      <w:r w:rsidRPr="00F4237D">
        <w:rPr>
          <w:rFonts w:ascii="Palatino Linotype" w:hAnsi="Palatino Linotype"/>
          <w:sz w:val="22"/>
          <w:szCs w:val="22"/>
        </w:rPr>
        <w:t xml:space="preserve">During the month, </w:t>
      </w:r>
      <w:r w:rsidRPr="00F4237D">
        <w:rPr>
          <w:rFonts w:ascii="Palatino Linotype" w:eastAsia="Times New Roman" w:hAnsi="Palatino Linotype"/>
          <w:color w:val="000000"/>
          <w:sz w:val="22"/>
          <w:szCs w:val="22"/>
        </w:rPr>
        <w:t xml:space="preserve">MCX iCOMDEX crude oil index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2.6</w:t>
      </w:r>
      <w:r w:rsidRPr="00F4237D">
        <w:rPr>
          <w:rFonts w:ascii="Palatino Linotype" w:eastAsia="Times New Roman" w:hAnsi="Palatino Linotype"/>
          <w:color w:val="000000"/>
          <w:sz w:val="22"/>
          <w:szCs w:val="22"/>
        </w:rPr>
        <w:t xml:space="preserve"> per cent on account of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 xml:space="preserve">crease in futures price of crude oil by </w:t>
      </w:r>
      <w:r>
        <w:rPr>
          <w:rFonts w:ascii="Palatino Linotype" w:eastAsia="Times New Roman" w:hAnsi="Palatino Linotype"/>
          <w:color w:val="000000"/>
          <w:sz w:val="22"/>
          <w:szCs w:val="22"/>
        </w:rPr>
        <w:t>3.1</w:t>
      </w:r>
      <w:r w:rsidRPr="00F4237D">
        <w:rPr>
          <w:rFonts w:ascii="Palatino Linotype" w:eastAsia="Times New Roman" w:hAnsi="Palatino Linotype"/>
          <w:color w:val="000000"/>
          <w:sz w:val="22"/>
          <w:szCs w:val="22"/>
        </w:rPr>
        <w:t xml:space="preserve"> per cent.</w:t>
      </w:r>
      <w:r>
        <w:rPr>
          <w:rFonts w:ascii="Palatino Linotype" w:eastAsia="Times New Roman" w:hAnsi="Palatino Linotype"/>
          <w:color w:val="000000"/>
          <w:sz w:val="22"/>
          <w:szCs w:val="22"/>
        </w:rPr>
        <w:t xml:space="preserve"> </w:t>
      </w:r>
      <w:r w:rsidRPr="00F4237D">
        <w:rPr>
          <w:rFonts w:ascii="Palatino Linotype" w:eastAsia="Times New Roman" w:hAnsi="Palatino Linotype"/>
          <w:color w:val="000000"/>
          <w:sz w:val="22"/>
          <w:szCs w:val="22"/>
        </w:rPr>
        <w:t xml:space="preserve"> MCX iCOMDEX bullion index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4.7</w:t>
      </w:r>
      <w:r w:rsidRPr="00F4237D">
        <w:rPr>
          <w:rFonts w:ascii="Palatino Linotype" w:eastAsia="Times New Roman" w:hAnsi="Palatino Linotype"/>
          <w:color w:val="000000"/>
          <w:sz w:val="22"/>
          <w:szCs w:val="22"/>
        </w:rPr>
        <w:t xml:space="preserve"> per cent due to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crease in future</w:t>
      </w:r>
      <w:r>
        <w:rPr>
          <w:rFonts w:ascii="Palatino Linotype" w:eastAsia="Times New Roman" w:hAnsi="Palatino Linotype"/>
          <w:color w:val="000000"/>
          <w:sz w:val="22"/>
          <w:szCs w:val="22"/>
        </w:rPr>
        <w:t>s</w:t>
      </w:r>
      <w:r w:rsidRPr="00F4237D">
        <w:rPr>
          <w:rFonts w:ascii="Palatino Linotype" w:eastAsia="Times New Roman" w:hAnsi="Palatino Linotype"/>
          <w:color w:val="000000"/>
          <w:sz w:val="22"/>
          <w:szCs w:val="22"/>
        </w:rPr>
        <w:t xml:space="preserve"> prices of </w:t>
      </w:r>
      <w:r>
        <w:rPr>
          <w:rFonts w:ascii="Palatino Linotype" w:eastAsia="Times New Roman" w:hAnsi="Palatino Linotype"/>
          <w:color w:val="000000"/>
          <w:sz w:val="22"/>
          <w:szCs w:val="22"/>
        </w:rPr>
        <w:t xml:space="preserve">both </w:t>
      </w:r>
      <w:r w:rsidRPr="00F4237D">
        <w:rPr>
          <w:rFonts w:ascii="Palatino Linotype" w:eastAsia="Times New Roman" w:hAnsi="Palatino Linotype"/>
          <w:color w:val="000000"/>
          <w:sz w:val="22"/>
          <w:szCs w:val="22"/>
        </w:rPr>
        <w:t xml:space="preserve">gold </w:t>
      </w:r>
      <w:r>
        <w:rPr>
          <w:rFonts w:ascii="Palatino Linotype" w:eastAsia="Times New Roman" w:hAnsi="Palatino Linotype"/>
          <w:color w:val="000000"/>
          <w:sz w:val="22"/>
          <w:szCs w:val="22"/>
        </w:rPr>
        <w:t xml:space="preserve">and silver </w:t>
      </w:r>
      <w:r w:rsidRPr="00F4237D">
        <w:rPr>
          <w:rFonts w:ascii="Palatino Linotype" w:eastAsia="Times New Roman" w:hAnsi="Palatino Linotype"/>
          <w:color w:val="000000"/>
          <w:sz w:val="22"/>
          <w:szCs w:val="22"/>
        </w:rPr>
        <w:t xml:space="preserve">by </w:t>
      </w:r>
      <w:r>
        <w:rPr>
          <w:rFonts w:ascii="Palatino Linotype" w:eastAsia="Times New Roman" w:hAnsi="Palatino Linotype"/>
          <w:color w:val="000000"/>
          <w:sz w:val="22"/>
          <w:szCs w:val="22"/>
        </w:rPr>
        <w:t>5.6 per cent and 6.5 per cent, respectively.</w:t>
      </w:r>
      <w:r w:rsidRPr="00F4237D">
        <w:rPr>
          <w:rFonts w:ascii="Palatino Linotype" w:eastAsia="Times New Roman" w:hAnsi="Palatino Linotype"/>
          <w:color w:val="000000"/>
          <w:sz w:val="22"/>
          <w:szCs w:val="22"/>
        </w:rPr>
        <w:t xml:space="preserve"> MCX iCOMDEX base metal index </w:t>
      </w:r>
      <w:r>
        <w:rPr>
          <w:rFonts w:ascii="Palatino Linotype" w:eastAsia="Times New Roman" w:hAnsi="Palatino Linotype"/>
          <w:color w:val="000000"/>
          <w:sz w:val="22"/>
          <w:szCs w:val="22"/>
        </w:rPr>
        <w:t>also in</w:t>
      </w:r>
      <w:r w:rsidRPr="00F4237D">
        <w:rPr>
          <w:rFonts w:ascii="Palatino Linotype" w:eastAsia="Times New Roman" w:hAnsi="Palatino Linotype"/>
          <w:color w:val="000000"/>
          <w:sz w:val="22"/>
          <w:szCs w:val="22"/>
        </w:rPr>
        <w:t xml:space="preserve">creased </w:t>
      </w:r>
      <w:r>
        <w:rPr>
          <w:rFonts w:ascii="Palatino Linotype" w:eastAsia="Times New Roman" w:hAnsi="Palatino Linotype"/>
          <w:color w:val="000000"/>
          <w:sz w:val="22"/>
          <w:szCs w:val="22"/>
        </w:rPr>
        <w:t xml:space="preserve">marginally </w:t>
      </w:r>
      <w:r w:rsidRPr="00F4237D">
        <w:rPr>
          <w:rFonts w:ascii="Palatino Linotype" w:eastAsia="Times New Roman" w:hAnsi="Palatino Linotype"/>
          <w:color w:val="000000"/>
          <w:sz w:val="22"/>
          <w:szCs w:val="22"/>
        </w:rPr>
        <w:t xml:space="preserve">by </w:t>
      </w:r>
      <w:r>
        <w:rPr>
          <w:rFonts w:ascii="Palatino Linotype" w:eastAsia="Times New Roman" w:hAnsi="Palatino Linotype"/>
          <w:color w:val="000000"/>
          <w:sz w:val="22"/>
          <w:szCs w:val="22"/>
        </w:rPr>
        <w:t>0.7</w:t>
      </w:r>
      <w:r w:rsidRPr="00F4237D">
        <w:rPr>
          <w:rFonts w:ascii="Palatino Linotype" w:eastAsia="Times New Roman" w:hAnsi="Palatino Linotype"/>
          <w:color w:val="000000"/>
          <w:sz w:val="22"/>
          <w:szCs w:val="22"/>
        </w:rPr>
        <w:t xml:space="preserve"> per cent </w:t>
      </w:r>
      <w:r>
        <w:rPr>
          <w:rFonts w:ascii="Palatino Linotype" w:eastAsia="Times New Roman" w:hAnsi="Palatino Linotype"/>
          <w:color w:val="000000"/>
          <w:sz w:val="22"/>
          <w:szCs w:val="22"/>
        </w:rPr>
        <w:t xml:space="preserve">as the futures prices of copper and zinc increased by 0.1 per cent and 0.5 per cent respectively. </w:t>
      </w:r>
    </w:p>
    <w:p w:rsidR="003F4581" w:rsidRPr="00933687" w:rsidRDefault="003F4581" w:rsidP="003F4581">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sidRPr="00F4237D">
        <w:rPr>
          <w:rFonts w:ascii="Palatino Linotype" w:hAnsi="Palatino Linotype"/>
          <w:sz w:val="22"/>
          <w:szCs w:val="22"/>
        </w:rPr>
        <w:t xml:space="preserve">NKrishi </w:t>
      </w:r>
      <w:r w:rsidRPr="007145DC">
        <w:rPr>
          <w:rFonts w:ascii="Palatino Linotype" w:eastAsia="Times New Roman" w:hAnsi="Palatino Linotype"/>
          <w:color w:val="000000"/>
          <w:sz w:val="22"/>
          <w:szCs w:val="22"/>
        </w:rPr>
        <w:t>index</w:t>
      </w:r>
      <w:r w:rsidRPr="00F4237D">
        <w:rPr>
          <w:rFonts w:ascii="Palatino Linotype" w:hAnsi="Palatino Linotype"/>
          <w:sz w:val="22"/>
          <w:szCs w:val="22"/>
        </w:rPr>
        <w:t xml:space="preserve"> </w:t>
      </w:r>
      <w:r>
        <w:rPr>
          <w:rFonts w:ascii="Palatino Linotype" w:hAnsi="Palatino Linotype"/>
          <w:sz w:val="22"/>
          <w:szCs w:val="22"/>
        </w:rPr>
        <w:t>in</w:t>
      </w:r>
      <w:r w:rsidRPr="00F4237D">
        <w:rPr>
          <w:rFonts w:ascii="Palatino Linotype" w:hAnsi="Palatino Linotype"/>
          <w:sz w:val="22"/>
          <w:szCs w:val="22"/>
        </w:rPr>
        <w:t xml:space="preserve">creased </w:t>
      </w:r>
      <w:r>
        <w:rPr>
          <w:rFonts w:ascii="Palatino Linotype" w:hAnsi="Palatino Linotype"/>
          <w:sz w:val="22"/>
          <w:szCs w:val="22"/>
        </w:rPr>
        <w:t xml:space="preserve">marginally </w:t>
      </w:r>
      <w:r w:rsidRPr="00F4237D">
        <w:rPr>
          <w:rFonts w:ascii="Palatino Linotype" w:hAnsi="Palatino Linotype"/>
          <w:sz w:val="22"/>
          <w:szCs w:val="22"/>
        </w:rPr>
        <w:t xml:space="preserve">by </w:t>
      </w:r>
      <w:r>
        <w:rPr>
          <w:rFonts w:ascii="Palatino Linotype" w:hAnsi="Palatino Linotype"/>
          <w:sz w:val="22"/>
          <w:szCs w:val="22"/>
        </w:rPr>
        <w:t>0.6</w:t>
      </w:r>
      <w:r w:rsidRPr="00F4237D">
        <w:rPr>
          <w:rFonts w:ascii="Palatino Linotype" w:hAnsi="Palatino Linotype"/>
          <w:sz w:val="22"/>
          <w:szCs w:val="22"/>
        </w:rPr>
        <w:t xml:space="preserve"> per cent (M-o-M) as </w:t>
      </w:r>
      <w:r>
        <w:rPr>
          <w:rFonts w:ascii="Palatino Linotype" w:hAnsi="Palatino Linotype"/>
          <w:sz w:val="22"/>
          <w:szCs w:val="22"/>
        </w:rPr>
        <w:t>mixed trend recorded in futures prices among its constituent commodities. F</w:t>
      </w:r>
      <w:r w:rsidRPr="00F4237D">
        <w:rPr>
          <w:rFonts w:ascii="Palatino Linotype" w:hAnsi="Palatino Linotype"/>
          <w:sz w:val="22"/>
          <w:szCs w:val="22"/>
        </w:rPr>
        <w:t xml:space="preserve">utures prices of </w:t>
      </w:r>
      <w:r>
        <w:rPr>
          <w:rFonts w:ascii="Palatino Linotype" w:hAnsi="Palatino Linotype"/>
          <w:sz w:val="22"/>
          <w:szCs w:val="22"/>
        </w:rPr>
        <w:t>five</w:t>
      </w:r>
      <w:r w:rsidRPr="00F4237D">
        <w:rPr>
          <w:rFonts w:ascii="Palatino Linotype" w:hAnsi="Palatino Linotype"/>
          <w:sz w:val="22"/>
          <w:szCs w:val="22"/>
        </w:rPr>
        <w:t xml:space="preserve"> out of 10 </w:t>
      </w:r>
      <w:r w:rsidRPr="00F4237D">
        <w:rPr>
          <w:rFonts w:ascii="Palatino Linotype" w:eastAsia="Times New Roman" w:hAnsi="Palatino Linotype"/>
          <w:color w:val="000000"/>
          <w:sz w:val="22"/>
          <w:szCs w:val="22"/>
        </w:rPr>
        <w:t xml:space="preserve">constituent commodities of the index viz. </w:t>
      </w:r>
      <w:r>
        <w:rPr>
          <w:rFonts w:ascii="Palatino Linotype" w:eastAsia="Times New Roman" w:hAnsi="Palatino Linotype"/>
          <w:color w:val="000000"/>
          <w:sz w:val="22"/>
          <w:szCs w:val="22"/>
        </w:rPr>
        <w:t xml:space="preserve">guarseed, RM seed, cottonseed oilcake, coriander and gur </w:t>
      </w:r>
      <w:r w:rsidRPr="00F4237D">
        <w:rPr>
          <w:rFonts w:ascii="Palatino Linotype" w:eastAsia="Times New Roman" w:hAnsi="Palatino Linotype"/>
          <w:color w:val="000000"/>
          <w:sz w:val="22"/>
          <w:szCs w:val="22"/>
        </w:rPr>
        <w:t xml:space="preserve">witnessed </w:t>
      </w:r>
      <w:r>
        <w:rPr>
          <w:rFonts w:ascii="Palatino Linotype" w:eastAsia="Times New Roman" w:hAnsi="Palatino Linotype"/>
          <w:color w:val="000000"/>
          <w:sz w:val="22"/>
          <w:szCs w:val="22"/>
        </w:rPr>
        <w:t xml:space="preserve">an upend. On Y-o-Y basis, </w:t>
      </w:r>
      <w:r w:rsidRPr="00F4237D">
        <w:rPr>
          <w:rFonts w:ascii="Palatino Linotype" w:eastAsia="Times New Roman" w:hAnsi="Palatino Linotype"/>
          <w:color w:val="000000"/>
          <w:sz w:val="22"/>
          <w:szCs w:val="22"/>
        </w:rPr>
        <w:t xml:space="preserve">NKrishi index increased by </w:t>
      </w:r>
      <w:r>
        <w:rPr>
          <w:rFonts w:ascii="Palatino Linotype" w:eastAsia="Times New Roman" w:hAnsi="Palatino Linotype"/>
          <w:color w:val="000000"/>
          <w:sz w:val="22"/>
          <w:szCs w:val="22"/>
        </w:rPr>
        <w:t>48.7</w:t>
      </w:r>
      <w:r w:rsidRPr="00F4237D">
        <w:rPr>
          <w:rFonts w:ascii="Palatino Linotype" w:eastAsia="Times New Roman" w:hAnsi="Palatino Linotype"/>
          <w:color w:val="000000"/>
          <w:sz w:val="22"/>
          <w:szCs w:val="22"/>
        </w:rPr>
        <w:t xml:space="preserve"> per cent. </w:t>
      </w:r>
    </w:p>
    <w:p w:rsidR="003F4581" w:rsidRPr="00F4237D" w:rsidRDefault="003F4581" w:rsidP="003F4581">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Pr>
          <w:rFonts w:ascii="Palatino Linotype" w:eastAsia="Times New Roman" w:hAnsi="Palatino Linotype"/>
          <w:color w:val="000000"/>
          <w:sz w:val="22"/>
          <w:szCs w:val="22"/>
        </w:rPr>
        <w:t xml:space="preserve">Movement </w:t>
      </w:r>
      <w:r w:rsidRPr="00F4237D">
        <w:rPr>
          <w:rFonts w:ascii="Palatino Linotype" w:eastAsia="Times New Roman" w:hAnsi="Palatino Linotype"/>
          <w:color w:val="000000"/>
          <w:sz w:val="22"/>
          <w:szCs w:val="22"/>
        </w:rPr>
        <w:t xml:space="preserve">in MCX iCOMDEX composite Index and NKrishi Index </w:t>
      </w:r>
      <w:r>
        <w:rPr>
          <w:rFonts w:ascii="Palatino Linotype" w:eastAsia="Times New Roman" w:hAnsi="Palatino Linotype"/>
          <w:color w:val="000000"/>
          <w:sz w:val="22"/>
          <w:szCs w:val="22"/>
        </w:rPr>
        <w:t xml:space="preserve">during May 2021 is given in </w:t>
      </w:r>
      <w:r w:rsidRPr="004776F0">
        <w:rPr>
          <w:rFonts w:ascii="Palatino Linotype" w:eastAsia="Times New Roman" w:hAnsi="Palatino Linotype"/>
          <w:b/>
          <w:bCs/>
          <w:color w:val="000000"/>
          <w:sz w:val="22"/>
          <w:szCs w:val="22"/>
        </w:rPr>
        <w:t>Figure 14</w:t>
      </w:r>
      <w:r>
        <w:rPr>
          <w:rFonts w:ascii="Palatino Linotype" w:eastAsia="Times New Roman" w:hAnsi="Palatino Linotype"/>
          <w:color w:val="000000"/>
          <w:sz w:val="22"/>
          <w:szCs w:val="22"/>
        </w:rPr>
        <w:t xml:space="preserve"> and the monthly data of these indices is provided</w:t>
      </w:r>
      <w:r w:rsidRPr="00F4237D">
        <w:rPr>
          <w:rFonts w:ascii="Palatino Linotype" w:eastAsia="Times New Roman" w:hAnsi="Palatino Linotype"/>
          <w:color w:val="000000"/>
          <w:sz w:val="22"/>
          <w:szCs w:val="22"/>
        </w:rPr>
        <w:t xml:space="preserve"> in </w:t>
      </w:r>
      <w:r w:rsidRPr="004776F0">
        <w:rPr>
          <w:rFonts w:ascii="Palatino Linotype" w:eastAsia="Times New Roman" w:hAnsi="Palatino Linotype"/>
          <w:b/>
          <w:bCs/>
          <w:color w:val="000000"/>
          <w:sz w:val="22"/>
          <w:szCs w:val="22"/>
        </w:rPr>
        <w:t>Table 64</w:t>
      </w:r>
      <w:r w:rsidRPr="00F4237D">
        <w:rPr>
          <w:rFonts w:ascii="Palatino Linotype" w:eastAsia="Times New Roman" w:hAnsi="Palatino Linotype"/>
          <w:color w:val="000000"/>
          <w:sz w:val="22"/>
          <w:szCs w:val="22"/>
        </w:rPr>
        <w:t>.</w:t>
      </w:r>
    </w:p>
    <w:p w:rsidR="003F4581" w:rsidRDefault="003F4581" w:rsidP="003F4581">
      <w:pPr>
        <w:rPr>
          <w:rFonts w:ascii="Palatino Linotype" w:eastAsia="Times New Roman" w:hAnsi="Palatino Linotype"/>
          <w:b/>
          <w:color w:val="2E74B5"/>
        </w:rPr>
      </w:pPr>
    </w:p>
    <w:p w:rsidR="003B1F08" w:rsidRPr="00DA4621" w:rsidRDefault="003B1F08" w:rsidP="003F4581">
      <w:pPr>
        <w:rPr>
          <w:rFonts w:ascii="Palatino Linotype" w:eastAsia="Times New Roman" w:hAnsi="Palatino Linotype"/>
          <w:b/>
          <w:color w:val="2E74B5"/>
        </w:rPr>
      </w:pPr>
    </w:p>
    <w:p w:rsidR="003F4581" w:rsidRDefault="003F4581" w:rsidP="003F4581">
      <w:pPr>
        <w:pStyle w:val="ListParagraph"/>
        <w:spacing w:after="0" w:line="240" w:lineRule="auto"/>
        <w:ind w:left="0"/>
        <w:rPr>
          <w:rFonts w:ascii="Palatino Linotype" w:eastAsia="Times New Roman" w:hAnsi="Palatino Linotype"/>
          <w:b/>
          <w:sz w:val="22"/>
          <w:szCs w:val="22"/>
        </w:rPr>
      </w:pPr>
      <w:r w:rsidRPr="009B2971">
        <w:rPr>
          <w:rFonts w:ascii="Palatino Linotype" w:eastAsia="Times New Roman" w:hAnsi="Palatino Linotype"/>
          <w:b/>
          <w:sz w:val="22"/>
          <w:szCs w:val="22"/>
        </w:rPr>
        <w:t>Figure 14: Movement of Commodit</w:t>
      </w:r>
      <w:r>
        <w:rPr>
          <w:rFonts w:ascii="Palatino Linotype" w:eastAsia="Times New Roman" w:hAnsi="Palatino Linotype"/>
          <w:b/>
          <w:sz w:val="22"/>
          <w:szCs w:val="22"/>
        </w:rPr>
        <w:t>y</w:t>
      </w:r>
      <w:r w:rsidRPr="009B2971">
        <w:rPr>
          <w:rFonts w:ascii="Palatino Linotype" w:eastAsia="Times New Roman" w:hAnsi="Palatino Linotype"/>
          <w:b/>
          <w:sz w:val="22"/>
          <w:szCs w:val="22"/>
        </w:rPr>
        <w:t xml:space="preserve"> Derivatives Market Indices during </w:t>
      </w:r>
      <w:r>
        <w:rPr>
          <w:rFonts w:ascii="Palatino Linotype" w:eastAsia="Times New Roman" w:hAnsi="Palatino Linotype"/>
          <w:b/>
          <w:sz w:val="22"/>
          <w:szCs w:val="22"/>
        </w:rPr>
        <w:t xml:space="preserve">May </w:t>
      </w:r>
      <w:r w:rsidRPr="009B2971">
        <w:rPr>
          <w:rFonts w:ascii="Palatino Linotype" w:eastAsia="Times New Roman" w:hAnsi="Palatino Linotype"/>
          <w:b/>
          <w:sz w:val="22"/>
          <w:szCs w:val="22"/>
        </w:rPr>
        <w:t>202</w:t>
      </w:r>
      <w:r>
        <w:rPr>
          <w:rFonts w:ascii="Palatino Linotype" w:eastAsia="Times New Roman" w:hAnsi="Palatino Linotype"/>
          <w:b/>
          <w:sz w:val="22"/>
          <w:szCs w:val="22"/>
        </w:rPr>
        <w:t>1</w:t>
      </w:r>
    </w:p>
    <w:p w:rsidR="003F4581" w:rsidRPr="00DA4621" w:rsidRDefault="003F4581" w:rsidP="003F4581">
      <w:pPr>
        <w:pStyle w:val="ListParagraph"/>
        <w:spacing w:after="0" w:line="240" w:lineRule="auto"/>
        <w:ind w:left="142" w:hanging="142"/>
        <w:jc w:val="center"/>
        <w:rPr>
          <w:rFonts w:ascii="Palatino Linotype" w:eastAsia="Times New Roman" w:hAnsi="Palatino Linotype"/>
          <w:b/>
          <w:color w:val="2E74B5"/>
          <w:sz w:val="22"/>
          <w:szCs w:val="22"/>
        </w:rPr>
      </w:pPr>
    </w:p>
    <w:p w:rsidR="003F4581" w:rsidRPr="00DA4621" w:rsidRDefault="003F4581" w:rsidP="003F4581">
      <w:pPr>
        <w:pStyle w:val="ListParagraph"/>
        <w:spacing w:after="0" w:line="240" w:lineRule="auto"/>
        <w:ind w:left="142" w:hanging="142"/>
        <w:jc w:val="center"/>
        <w:rPr>
          <w:rFonts w:ascii="Palatino Linotype" w:eastAsia="Times New Roman" w:hAnsi="Palatino Linotype"/>
          <w:b/>
          <w:color w:val="2E74B5"/>
          <w:sz w:val="22"/>
          <w:szCs w:val="22"/>
        </w:rPr>
      </w:pPr>
      <w:r w:rsidRPr="00DA4621">
        <w:rPr>
          <w:noProof/>
          <w:color w:val="0066FF"/>
          <w:lang w:val="en-IN" w:eastAsia="en-IN" w:bidi="hi-IN"/>
        </w:rPr>
        <w:drawing>
          <wp:inline distT="0" distB="0" distL="0" distR="0">
            <wp:extent cx="5060315" cy="3382010"/>
            <wp:effectExtent l="0" t="0" r="6985" b="889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4581" w:rsidRDefault="003F4581" w:rsidP="003F4581">
      <w:pPr>
        <w:pStyle w:val="ListParagraph"/>
        <w:spacing w:after="0" w:line="480" w:lineRule="auto"/>
        <w:ind w:left="-426"/>
        <w:rPr>
          <w:rFonts w:ascii="Palatino Linotype" w:hAnsi="Palatino Linotype" w:cs="Arial"/>
          <w:b/>
          <w:bCs/>
          <w:sz w:val="22"/>
          <w:szCs w:val="22"/>
        </w:rPr>
      </w:pPr>
      <w:r w:rsidRPr="00B92D2D">
        <w:rPr>
          <w:rFonts w:ascii="Palatino Linotype" w:hAnsi="Palatino Linotype" w:cs="Arial"/>
          <w:b/>
          <w:bCs/>
          <w:sz w:val="22"/>
          <w:szCs w:val="22"/>
        </w:rPr>
        <w:t xml:space="preserve">             </w:t>
      </w:r>
      <w:r>
        <w:rPr>
          <w:rFonts w:ascii="Palatino Linotype" w:hAnsi="Palatino Linotype" w:cs="Arial"/>
          <w:b/>
          <w:bCs/>
          <w:sz w:val="22"/>
          <w:szCs w:val="22"/>
        </w:rPr>
        <w:t xml:space="preserve">             </w:t>
      </w:r>
      <w:r w:rsidRPr="009B2971">
        <w:rPr>
          <w:rFonts w:ascii="Palatino Linotype" w:hAnsi="Palatino Linotype" w:cs="Arial"/>
          <w:b/>
          <w:bCs/>
          <w:sz w:val="18"/>
          <w:szCs w:val="18"/>
        </w:rPr>
        <w:t>Source: MCX and NCDEX</w:t>
      </w:r>
    </w:p>
    <w:p w:rsidR="003F4581" w:rsidRDefault="003F4581" w:rsidP="003F4581">
      <w:pPr>
        <w:pStyle w:val="ListParagraph"/>
        <w:tabs>
          <w:tab w:val="left" w:pos="3360"/>
        </w:tabs>
        <w:spacing w:after="0" w:line="480" w:lineRule="auto"/>
        <w:ind w:left="-426"/>
        <w:rPr>
          <w:rFonts w:ascii="Palatino Linotype" w:hAnsi="Palatino Linotype" w:cs="Arial"/>
          <w:b/>
          <w:bCs/>
          <w:sz w:val="22"/>
          <w:szCs w:val="22"/>
        </w:rPr>
      </w:pPr>
      <w:r>
        <w:rPr>
          <w:rFonts w:ascii="Palatino Linotype" w:hAnsi="Palatino Linotype" w:cs="Arial"/>
          <w:b/>
          <w:bCs/>
          <w:sz w:val="22"/>
          <w:szCs w:val="22"/>
        </w:rPr>
        <w:tab/>
      </w:r>
    </w:p>
    <w:p w:rsidR="003F4581" w:rsidRDefault="003F4581" w:rsidP="003F4581">
      <w:pPr>
        <w:ind w:left="-426"/>
        <w:jc w:val="both"/>
        <w:rPr>
          <w:rFonts w:ascii="Palatino Linotype" w:hAnsi="Palatino Linotype" w:cs="Arial"/>
          <w:b/>
          <w:bCs/>
        </w:rPr>
      </w:pPr>
      <w:r>
        <w:rPr>
          <w:rFonts w:ascii="Palatino Linotype" w:hAnsi="Palatino Linotype" w:cs="Arial"/>
          <w:b/>
          <w:bCs/>
        </w:rPr>
        <w:lastRenderedPageBreak/>
        <w:t xml:space="preserve">             </w:t>
      </w:r>
      <w:r w:rsidRPr="00B92D2D">
        <w:rPr>
          <w:rFonts w:ascii="Palatino Linotype" w:hAnsi="Palatino Linotype" w:cs="Arial"/>
          <w:b/>
          <w:bCs/>
        </w:rPr>
        <w:t xml:space="preserve">Table </w:t>
      </w:r>
      <w:r>
        <w:rPr>
          <w:rFonts w:ascii="Palatino Linotype" w:hAnsi="Palatino Linotype" w:cs="Arial"/>
          <w:b/>
          <w:bCs/>
        </w:rPr>
        <w:t>4</w:t>
      </w:r>
      <w:r w:rsidRPr="00B92D2D">
        <w:rPr>
          <w:rFonts w:ascii="Palatino Linotype" w:hAnsi="Palatino Linotype" w:cs="Arial"/>
          <w:b/>
          <w:bCs/>
        </w:rPr>
        <w:t>: Snapshot of Indian Commodit</w:t>
      </w:r>
      <w:r>
        <w:rPr>
          <w:rFonts w:ascii="Palatino Linotype" w:hAnsi="Palatino Linotype" w:cs="Arial"/>
          <w:b/>
          <w:bCs/>
        </w:rPr>
        <w:t>y</w:t>
      </w:r>
      <w:r w:rsidRPr="00B92D2D">
        <w:rPr>
          <w:rFonts w:ascii="Palatino Linotype" w:hAnsi="Palatino Linotype" w:cs="Arial"/>
          <w:b/>
          <w:bCs/>
        </w:rPr>
        <w:t xml:space="preserve"> Derivative</w:t>
      </w:r>
      <w:r>
        <w:rPr>
          <w:rFonts w:ascii="Palatino Linotype" w:hAnsi="Palatino Linotype" w:cs="Arial"/>
          <w:b/>
          <w:bCs/>
        </w:rPr>
        <w:t>s</w:t>
      </w:r>
      <w:r w:rsidRPr="00B92D2D">
        <w:rPr>
          <w:rFonts w:ascii="Palatino Linotype" w:hAnsi="Palatino Linotype" w:cs="Arial"/>
          <w:b/>
          <w:bCs/>
        </w:rPr>
        <w:t xml:space="preserve"> Markets</w:t>
      </w:r>
    </w:p>
    <w:p w:rsidR="003F4581" w:rsidRPr="00B92D2D" w:rsidRDefault="003F4581" w:rsidP="003F4581">
      <w:pPr>
        <w:ind w:left="-426"/>
        <w:jc w:val="both"/>
        <w:rPr>
          <w:rFonts w:ascii="Palatino Linotype" w:hAnsi="Palatino Linotype" w:cs="Arial"/>
          <w:b/>
          <w:bCs/>
        </w:rPr>
      </w:pPr>
    </w:p>
    <w:tbl>
      <w:tblPr>
        <w:tblW w:w="7291" w:type="dxa"/>
        <w:jc w:val="center"/>
        <w:tblLook w:val="04A0" w:firstRow="1" w:lastRow="0" w:firstColumn="1" w:lastColumn="0" w:noHBand="0" w:noVBand="1"/>
      </w:tblPr>
      <w:tblGrid>
        <w:gridCol w:w="2263"/>
        <w:gridCol w:w="1128"/>
        <w:gridCol w:w="1236"/>
        <w:gridCol w:w="1319"/>
        <w:gridCol w:w="1345"/>
      </w:tblGrid>
      <w:tr w:rsidR="003F4581" w:rsidRPr="00B92D2D" w:rsidTr="00320C82">
        <w:trPr>
          <w:trHeight w:val="699"/>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hideMark/>
          </w:tcPr>
          <w:p w:rsidR="003F4581" w:rsidRPr="00DF31BD" w:rsidRDefault="003F4581" w:rsidP="00320C82">
            <w:pPr>
              <w:rPr>
                <w:rFonts w:ascii="Palatino Linotype" w:hAnsi="Palatino Linotype" w:cs="Arial"/>
                <w:b/>
                <w:bCs/>
                <w:sz w:val="18"/>
                <w:szCs w:val="18"/>
              </w:rPr>
            </w:pPr>
            <w:r w:rsidRPr="00DF31BD">
              <w:rPr>
                <w:rFonts w:ascii="Palatino Linotype" w:hAnsi="Palatino Linotype" w:cs="Arial"/>
                <w:b/>
                <w:bCs/>
                <w:sz w:val="18"/>
                <w:szCs w:val="18"/>
              </w:rPr>
              <w:t>Items</w:t>
            </w:r>
          </w:p>
        </w:tc>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rsidR="003F4581" w:rsidRPr="00DF31BD" w:rsidRDefault="003F4581" w:rsidP="00320C82">
            <w:pPr>
              <w:rPr>
                <w:rFonts w:ascii="Palatino Linotype" w:hAnsi="Palatino Linotype" w:cs="Arial"/>
                <w:b/>
                <w:bCs/>
                <w:sz w:val="18"/>
                <w:szCs w:val="18"/>
              </w:rPr>
            </w:pPr>
            <w:r w:rsidRPr="00DF31BD">
              <w:rPr>
                <w:rFonts w:ascii="Palatino Linotype" w:hAnsi="Palatino Linotype" w:cs="Arial"/>
                <w:b/>
                <w:bCs/>
                <w:sz w:val="18"/>
                <w:szCs w:val="18"/>
              </w:rPr>
              <w:t>2020</w:t>
            </w:r>
            <w:r>
              <w:rPr>
                <w:rFonts w:ascii="Palatino Linotype" w:hAnsi="Palatino Linotype" w:cs="Arial"/>
                <w:b/>
                <w:bCs/>
                <w:sz w:val="18"/>
                <w:szCs w:val="18"/>
              </w:rPr>
              <w:t>-21</w:t>
            </w:r>
          </w:p>
        </w:tc>
        <w:tc>
          <w:tcPr>
            <w:tcW w:w="1236" w:type="dxa"/>
            <w:tcBorders>
              <w:top w:val="single" w:sz="4" w:space="0" w:color="auto"/>
              <w:left w:val="single" w:sz="4" w:space="0" w:color="auto"/>
              <w:right w:val="single" w:sz="4" w:space="0" w:color="auto"/>
            </w:tcBorders>
          </w:tcPr>
          <w:p w:rsidR="003F4581" w:rsidRPr="00DF31BD" w:rsidRDefault="003F4581" w:rsidP="00320C82">
            <w:pPr>
              <w:rPr>
                <w:rFonts w:ascii="Palatino Linotype" w:hAnsi="Palatino Linotype" w:cs="Arial"/>
                <w:b/>
                <w:bCs/>
                <w:sz w:val="18"/>
                <w:szCs w:val="18"/>
              </w:rPr>
            </w:pPr>
            <w:r>
              <w:rPr>
                <w:rFonts w:ascii="Palatino Linotype" w:hAnsi="Palatino Linotype" w:cs="Arial"/>
                <w:b/>
                <w:bCs/>
                <w:sz w:val="18"/>
                <w:szCs w:val="18"/>
              </w:rPr>
              <w:t xml:space="preserve">Apr </w:t>
            </w:r>
            <w:r w:rsidRPr="00DF31BD">
              <w:rPr>
                <w:rFonts w:ascii="Palatino Linotype" w:hAnsi="Palatino Linotype" w:cs="Arial"/>
                <w:b/>
                <w:bCs/>
                <w:sz w:val="18"/>
                <w:szCs w:val="18"/>
              </w:rPr>
              <w:t>- 202</w:t>
            </w:r>
            <w:r>
              <w:rPr>
                <w:rFonts w:ascii="Palatino Linotype" w:hAnsi="Palatino Linotype" w:cs="Arial"/>
                <w:b/>
                <w:bCs/>
                <w:sz w:val="18"/>
                <w:szCs w:val="18"/>
              </w:rPr>
              <w:t>1</w:t>
            </w:r>
          </w:p>
        </w:tc>
        <w:tc>
          <w:tcPr>
            <w:tcW w:w="1319" w:type="dxa"/>
            <w:tcBorders>
              <w:top w:val="single" w:sz="4" w:space="0" w:color="auto"/>
              <w:left w:val="single" w:sz="4" w:space="0" w:color="auto"/>
              <w:bottom w:val="single" w:sz="4" w:space="0" w:color="auto"/>
              <w:right w:val="single" w:sz="4" w:space="0" w:color="auto"/>
            </w:tcBorders>
            <w:shd w:val="clear" w:color="auto" w:fill="auto"/>
            <w:noWrap/>
            <w:hideMark/>
          </w:tcPr>
          <w:p w:rsidR="003F4581" w:rsidRPr="00DF31BD" w:rsidRDefault="003F4581" w:rsidP="00320C82">
            <w:pPr>
              <w:rPr>
                <w:rFonts w:ascii="Palatino Linotype" w:hAnsi="Palatino Linotype" w:cs="Arial"/>
                <w:b/>
                <w:bCs/>
                <w:sz w:val="18"/>
                <w:szCs w:val="18"/>
              </w:rPr>
            </w:pPr>
            <w:r>
              <w:rPr>
                <w:rFonts w:ascii="Palatino Linotype" w:hAnsi="Palatino Linotype" w:cs="Arial"/>
                <w:b/>
                <w:bCs/>
                <w:sz w:val="18"/>
                <w:szCs w:val="18"/>
              </w:rPr>
              <w:t>May</w:t>
            </w:r>
            <w:r w:rsidRPr="00DF31BD">
              <w:rPr>
                <w:rFonts w:ascii="Palatino Linotype" w:hAnsi="Palatino Linotype" w:cs="Arial"/>
                <w:b/>
                <w:bCs/>
                <w:sz w:val="18"/>
                <w:szCs w:val="18"/>
              </w:rPr>
              <w:t xml:space="preserve"> -202</w:t>
            </w:r>
            <w:r>
              <w:rPr>
                <w:rFonts w:ascii="Palatino Linotype" w:hAnsi="Palatino Linotype" w:cs="Arial"/>
                <w:b/>
                <w:bCs/>
                <w:sz w:val="18"/>
                <w:szCs w:val="18"/>
              </w:rPr>
              <w:t>1</w:t>
            </w:r>
          </w:p>
        </w:tc>
        <w:tc>
          <w:tcPr>
            <w:tcW w:w="1344" w:type="dxa"/>
            <w:tcBorders>
              <w:top w:val="single" w:sz="4" w:space="0" w:color="auto"/>
              <w:left w:val="single" w:sz="4" w:space="0" w:color="auto"/>
              <w:bottom w:val="single" w:sz="4" w:space="0" w:color="000000"/>
              <w:right w:val="single" w:sz="4" w:space="0" w:color="auto"/>
            </w:tcBorders>
            <w:shd w:val="clear" w:color="auto" w:fill="auto"/>
            <w:hideMark/>
          </w:tcPr>
          <w:p w:rsidR="003F4581" w:rsidRDefault="003F4581" w:rsidP="00320C82">
            <w:pPr>
              <w:jc w:val="center"/>
              <w:rPr>
                <w:rFonts w:ascii="Palatino Linotype" w:hAnsi="Palatino Linotype" w:cs="Arial"/>
                <w:b/>
                <w:bCs/>
                <w:sz w:val="18"/>
                <w:szCs w:val="18"/>
              </w:rPr>
            </w:pPr>
            <w:r w:rsidRPr="00DF31BD">
              <w:rPr>
                <w:rFonts w:ascii="Palatino Linotype" w:hAnsi="Palatino Linotype" w:cs="Arial"/>
                <w:b/>
                <w:bCs/>
                <w:sz w:val="18"/>
                <w:szCs w:val="18"/>
              </w:rPr>
              <w:t>Percentage variation</w:t>
            </w:r>
          </w:p>
          <w:p w:rsidR="003F4581" w:rsidRPr="00DF31BD" w:rsidRDefault="003F4581" w:rsidP="00320C82">
            <w:pPr>
              <w:jc w:val="center"/>
              <w:rPr>
                <w:rFonts w:ascii="Palatino Linotype" w:hAnsi="Palatino Linotype" w:cs="Arial"/>
                <w:b/>
                <w:bCs/>
                <w:sz w:val="18"/>
                <w:szCs w:val="18"/>
              </w:rPr>
            </w:pPr>
            <w:r w:rsidRPr="00DF31BD">
              <w:rPr>
                <w:rFonts w:ascii="Palatino Linotype" w:hAnsi="Palatino Linotype" w:cs="Arial"/>
                <w:b/>
                <w:bCs/>
                <w:sz w:val="18"/>
                <w:szCs w:val="18"/>
              </w:rPr>
              <w:t>M-o-M</w:t>
            </w:r>
          </w:p>
        </w:tc>
      </w:tr>
      <w:tr w:rsidR="003F4581" w:rsidRPr="00B92D2D" w:rsidTr="00320C82">
        <w:trPr>
          <w:trHeight w:val="367"/>
          <w:jc w:val="center"/>
        </w:trPr>
        <w:tc>
          <w:tcPr>
            <w:tcW w:w="7291" w:type="dxa"/>
            <w:gridSpan w:val="5"/>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F4581">
            <w:pPr>
              <w:pStyle w:val="ListParagraph"/>
              <w:numPr>
                <w:ilvl w:val="0"/>
                <w:numId w:val="11"/>
              </w:numPr>
              <w:spacing w:after="0" w:line="240" w:lineRule="auto"/>
              <w:ind w:left="317" w:hanging="284"/>
              <w:rPr>
                <w:rFonts w:ascii="Palatino Linotype" w:hAnsi="Palatino Linotype" w:cs="Arial"/>
                <w:b/>
                <w:bCs/>
                <w:sz w:val="18"/>
                <w:szCs w:val="18"/>
              </w:rPr>
            </w:pPr>
            <w:r w:rsidRPr="00DF31BD">
              <w:rPr>
                <w:rFonts w:ascii="Palatino Linotype" w:hAnsi="Palatino Linotype" w:cs="Arial"/>
                <w:b/>
                <w:bCs/>
                <w:sz w:val="18"/>
                <w:szCs w:val="18"/>
              </w:rPr>
              <w:t>Indices</w:t>
            </w:r>
          </w:p>
        </w:tc>
      </w:tr>
      <w:tr w:rsidR="003F4581" w:rsidRPr="00B92D2D" w:rsidTr="00320C82">
        <w:trPr>
          <w:trHeight w:val="154"/>
          <w:jc w:val="center"/>
        </w:trPr>
        <w:tc>
          <w:tcPr>
            <w:tcW w:w="2263" w:type="dxa"/>
            <w:tcBorders>
              <w:top w:val="nil"/>
              <w:left w:val="single" w:sz="4" w:space="0" w:color="auto"/>
              <w:bottom w:val="single" w:sz="4" w:space="0" w:color="auto"/>
              <w:right w:val="single" w:sz="4" w:space="0" w:color="auto"/>
            </w:tcBorders>
            <w:shd w:val="clear" w:color="auto" w:fill="auto"/>
            <w:noWrap/>
            <w:hideMark/>
          </w:tcPr>
          <w:p w:rsidR="003F4581" w:rsidRPr="00DF31BD" w:rsidRDefault="003F4581" w:rsidP="00320C82">
            <w:pPr>
              <w:rPr>
                <w:rFonts w:ascii="Palatino Linotype" w:hAnsi="Palatino Linotype" w:cs="Arial"/>
                <w:bCs/>
                <w:sz w:val="18"/>
                <w:szCs w:val="18"/>
              </w:rPr>
            </w:pPr>
            <w:r w:rsidRPr="00DF31BD">
              <w:rPr>
                <w:rFonts w:ascii="Palatino Linotype" w:hAnsi="Palatino Linotype" w:cs="Arial"/>
                <w:bCs/>
                <w:sz w:val="18"/>
                <w:szCs w:val="18"/>
              </w:rPr>
              <w:t>Nkrishi</w:t>
            </w:r>
          </w:p>
        </w:tc>
        <w:tc>
          <w:tcPr>
            <w:tcW w:w="1128" w:type="dxa"/>
            <w:tcBorders>
              <w:top w:val="nil"/>
              <w:left w:val="nil"/>
              <w:bottom w:val="single" w:sz="4" w:space="0" w:color="auto"/>
              <w:right w:val="single" w:sz="4" w:space="0" w:color="auto"/>
            </w:tcBorders>
            <w:shd w:val="clear" w:color="auto" w:fill="auto"/>
            <w:noWrap/>
            <w:hideMark/>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4,223.5</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4,711.3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4,741.0</w:t>
            </w:r>
          </w:p>
        </w:tc>
        <w:tc>
          <w:tcPr>
            <w:tcW w:w="1344"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0.6</w:t>
            </w:r>
          </w:p>
        </w:tc>
      </w:tr>
      <w:tr w:rsidR="003F4581" w:rsidRPr="00B92D2D" w:rsidTr="00320C82">
        <w:trPr>
          <w:trHeight w:val="224"/>
          <w:jc w:val="center"/>
        </w:trPr>
        <w:tc>
          <w:tcPr>
            <w:tcW w:w="2263"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rPr>
                <w:rFonts w:ascii="Palatino Linotype" w:hAnsi="Palatino Linotype" w:cs="Arial"/>
                <w:bCs/>
                <w:sz w:val="18"/>
                <w:szCs w:val="18"/>
              </w:rPr>
            </w:pPr>
            <w:r w:rsidRPr="00DF31BD">
              <w:rPr>
                <w:rFonts w:ascii="Palatino Linotype" w:hAnsi="Palatino Linotype" w:cs="Arial"/>
                <w:bCs/>
                <w:sz w:val="18"/>
                <w:szCs w:val="18"/>
              </w:rPr>
              <w:t>MCX iCOMDEX</w:t>
            </w:r>
          </w:p>
        </w:tc>
        <w:tc>
          <w:tcPr>
            <w:tcW w:w="1128"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10,415.1</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11,126.9</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11,456.9</w:t>
            </w:r>
          </w:p>
        </w:tc>
        <w:tc>
          <w:tcPr>
            <w:tcW w:w="1344"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3.0</w:t>
            </w:r>
          </w:p>
        </w:tc>
      </w:tr>
      <w:tr w:rsidR="003F4581" w:rsidRPr="00B92D2D" w:rsidTr="00320C82">
        <w:trPr>
          <w:trHeight w:val="224"/>
          <w:jc w:val="center"/>
        </w:trPr>
        <w:tc>
          <w:tcPr>
            <w:tcW w:w="7291" w:type="dxa"/>
            <w:gridSpan w:val="5"/>
            <w:tcBorders>
              <w:top w:val="nil"/>
              <w:left w:val="single" w:sz="4" w:space="0" w:color="auto"/>
              <w:bottom w:val="single" w:sz="4" w:space="0" w:color="auto"/>
              <w:right w:val="single" w:sz="4" w:space="0" w:color="auto"/>
            </w:tcBorders>
            <w:shd w:val="clear" w:color="auto" w:fill="auto"/>
            <w:noWrap/>
          </w:tcPr>
          <w:p w:rsidR="003F4581" w:rsidRPr="00DF31BD" w:rsidRDefault="003F4581" w:rsidP="003F4581">
            <w:pPr>
              <w:pStyle w:val="ListParagraph"/>
              <w:numPr>
                <w:ilvl w:val="0"/>
                <w:numId w:val="11"/>
              </w:numPr>
              <w:spacing w:after="0" w:line="240" w:lineRule="auto"/>
              <w:ind w:left="317" w:hanging="317"/>
              <w:rPr>
                <w:rFonts w:ascii="Palatino Linotype" w:hAnsi="Palatino Linotype" w:cs="Arial"/>
                <w:bCs/>
                <w:sz w:val="18"/>
                <w:szCs w:val="18"/>
              </w:rPr>
            </w:pPr>
            <w:r w:rsidRPr="00DF31BD">
              <w:rPr>
                <w:rFonts w:ascii="Palatino Linotype" w:hAnsi="Palatino Linotype" w:cs="Arial"/>
                <w:b/>
                <w:bCs/>
                <w:sz w:val="18"/>
                <w:szCs w:val="18"/>
              </w:rPr>
              <w:t>Turnover (</w:t>
            </w:r>
            <w:r w:rsidRPr="00DF31BD">
              <w:rPr>
                <w:rFonts w:ascii="Times New Roman" w:hAnsi="Times New Roman"/>
                <w:b/>
                <w:bCs/>
                <w:sz w:val="18"/>
                <w:szCs w:val="18"/>
              </w:rPr>
              <w:t>₹</w:t>
            </w:r>
            <w:r w:rsidRPr="00DF31BD">
              <w:rPr>
                <w:rFonts w:ascii="Palatino Linotype" w:hAnsi="Palatino Linotype" w:cs="Arial"/>
                <w:b/>
                <w:bCs/>
                <w:sz w:val="18"/>
                <w:szCs w:val="18"/>
              </w:rPr>
              <w:t>crore)</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hideMark/>
          </w:tcPr>
          <w:p w:rsidR="003F4581" w:rsidRPr="00DF31BD" w:rsidRDefault="003F4581" w:rsidP="00320C82">
            <w:pPr>
              <w:rPr>
                <w:rFonts w:ascii="Palatino Linotype" w:hAnsi="Palatino Linotype" w:cs="Arial"/>
                <w:b/>
                <w:bCs/>
                <w:sz w:val="18"/>
                <w:szCs w:val="18"/>
              </w:rPr>
            </w:pPr>
            <w:r w:rsidRPr="00DF31BD">
              <w:rPr>
                <w:rFonts w:ascii="Palatino Linotype" w:hAnsi="Palatino Linotype" w:cs="Arial"/>
                <w:b/>
                <w:bCs/>
                <w:sz w:val="18"/>
                <w:szCs w:val="18"/>
              </w:rPr>
              <w:t>All-India</w:t>
            </w:r>
          </w:p>
        </w:tc>
        <w:tc>
          <w:tcPr>
            <w:tcW w:w="1128" w:type="dxa"/>
            <w:tcBorders>
              <w:top w:val="nil"/>
              <w:left w:val="single" w:sz="4" w:space="0" w:color="auto"/>
              <w:bottom w:val="single" w:sz="4" w:space="0" w:color="auto"/>
              <w:right w:val="single" w:sz="4" w:space="0" w:color="auto"/>
            </w:tcBorders>
            <w:shd w:val="clear" w:color="auto" w:fill="auto"/>
            <w:noWrap/>
            <w:hideMark/>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92,22,927.2</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6,91,010.9</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8,22,175.8</w:t>
            </w:r>
          </w:p>
        </w:tc>
        <w:tc>
          <w:tcPr>
            <w:tcW w:w="1344"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19.0</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
                <w:bCs/>
                <w:sz w:val="18"/>
                <w:szCs w:val="18"/>
              </w:rPr>
            </w:pPr>
            <w:r w:rsidRPr="00DF31BD">
              <w:rPr>
                <w:rFonts w:ascii="Palatino Linotype" w:hAnsi="Palatino Linotype" w:cs="Arial"/>
                <w:b/>
                <w:bCs/>
                <w:sz w:val="18"/>
                <w:szCs w:val="18"/>
              </w:rPr>
              <w:t>MCX, of which</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tabs>
                <w:tab w:val="right" w:pos="912"/>
              </w:tabs>
              <w:rPr>
                <w:rFonts w:ascii="Palatino Linotype" w:hAnsi="Palatino Linotype" w:cs="Arial"/>
                <w:b/>
                <w:bCs/>
                <w:sz w:val="18"/>
                <w:szCs w:val="18"/>
              </w:rPr>
            </w:pPr>
            <w:r>
              <w:rPr>
                <w:rFonts w:ascii="Palatino Linotype" w:hAnsi="Palatino Linotype" w:cs="Arial"/>
                <w:b/>
                <w:bCs/>
                <w:sz w:val="18"/>
                <w:szCs w:val="18"/>
              </w:rPr>
              <w:t xml:space="preserve"> 82,64,585.1</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tabs>
                <w:tab w:val="center" w:pos="551"/>
              </w:tabs>
              <w:jc w:val="right"/>
              <w:rPr>
                <w:rFonts w:ascii="Palatino Linotype" w:hAnsi="Palatino Linotype" w:cs="Arial"/>
                <w:b/>
                <w:bCs/>
                <w:sz w:val="18"/>
                <w:szCs w:val="18"/>
              </w:rPr>
            </w:pPr>
            <w:r>
              <w:rPr>
                <w:rFonts w:ascii="Palatino Linotype" w:hAnsi="Palatino Linotype" w:cs="Arial"/>
                <w:b/>
                <w:bCs/>
                <w:sz w:val="18"/>
                <w:szCs w:val="18"/>
              </w:rPr>
              <w:t>5,67,936.1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tabs>
                <w:tab w:val="center" w:pos="551"/>
              </w:tabs>
              <w:jc w:val="right"/>
              <w:rPr>
                <w:rFonts w:ascii="Palatino Linotype" w:hAnsi="Palatino Linotype" w:cs="Arial"/>
                <w:b/>
                <w:bCs/>
                <w:sz w:val="18"/>
                <w:szCs w:val="18"/>
              </w:rPr>
            </w:pPr>
            <w:r>
              <w:rPr>
                <w:rFonts w:ascii="Palatino Linotype" w:hAnsi="Palatino Linotype" w:cs="Arial"/>
                <w:b/>
                <w:bCs/>
                <w:sz w:val="18"/>
                <w:szCs w:val="18"/>
              </w:rPr>
              <w:t>7,09,903.4</w:t>
            </w:r>
          </w:p>
        </w:tc>
        <w:tc>
          <w:tcPr>
            <w:tcW w:w="1344"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25.0</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80,25,006.1</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5,38,189.8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6,68,165.6</w:t>
            </w:r>
          </w:p>
        </w:tc>
        <w:tc>
          <w:tcPr>
            <w:tcW w:w="1344"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24.2</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 xml:space="preserve">  2,39,579.0</w:t>
            </w:r>
            <w:r w:rsidRPr="00DF31BD">
              <w:rPr>
                <w:rFonts w:ascii="Palatino Linotype" w:hAnsi="Palatino Linotype" w:cs="Arial"/>
                <w:bCs/>
                <w:sz w:val="18"/>
                <w:szCs w:val="18"/>
              </w:rPr>
              <w:t xml:space="preserve"> </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29,746.3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41,737.8</w:t>
            </w:r>
          </w:p>
        </w:tc>
        <w:tc>
          <w:tcPr>
            <w:tcW w:w="1344"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40.3</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
                <w:bCs/>
                <w:sz w:val="18"/>
                <w:szCs w:val="18"/>
              </w:rPr>
              <w:t>BSE, of which</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6,10,023.0</w:t>
            </w:r>
          </w:p>
        </w:tc>
        <w:tc>
          <w:tcPr>
            <w:tcW w:w="1236" w:type="dxa"/>
            <w:tcBorders>
              <w:top w:val="single" w:sz="4" w:space="0" w:color="auto"/>
              <w:left w:val="single" w:sz="4" w:space="0" w:color="auto"/>
              <w:bottom w:val="single" w:sz="4" w:space="0" w:color="auto"/>
              <w:right w:val="single" w:sz="4" w:space="0" w:color="auto"/>
            </w:tcBorders>
          </w:tcPr>
          <w:p w:rsidR="003F4581" w:rsidRPr="00184B26" w:rsidRDefault="003F4581" w:rsidP="00320C82">
            <w:pPr>
              <w:jc w:val="right"/>
              <w:rPr>
                <w:rFonts w:ascii="Palatino Linotype" w:hAnsi="Palatino Linotype" w:cs="Arial"/>
                <w:b/>
                <w:sz w:val="18"/>
                <w:szCs w:val="18"/>
              </w:rPr>
            </w:pPr>
            <w:r>
              <w:rPr>
                <w:rFonts w:ascii="Palatino Linotype" w:hAnsi="Palatino Linotype" w:cs="Arial"/>
                <w:b/>
                <w:sz w:val="18"/>
                <w:szCs w:val="18"/>
              </w:rPr>
              <w:t>66,274.8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184B26" w:rsidRDefault="003F4581" w:rsidP="00320C82">
            <w:pPr>
              <w:jc w:val="right"/>
              <w:rPr>
                <w:rFonts w:ascii="Palatino Linotype" w:hAnsi="Palatino Linotype" w:cs="Arial"/>
                <w:b/>
                <w:sz w:val="18"/>
                <w:szCs w:val="18"/>
              </w:rPr>
            </w:pPr>
            <w:r>
              <w:rPr>
                <w:rFonts w:ascii="Palatino Linotype" w:hAnsi="Palatino Linotype" w:cs="Arial"/>
                <w:b/>
                <w:sz w:val="18"/>
                <w:szCs w:val="18"/>
              </w:rPr>
              <w:t>68,167.0</w:t>
            </w:r>
          </w:p>
        </w:tc>
        <w:tc>
          <w:tcPr>
            <w:tcW w:w="1344" w:type="dxa"/>
            <w:tcBorders>
              <w:top w:val="nil"/>
              <w:left w:val="nil"/>
              <w:bottom w:val="single" w:sz="4" w:space="0" w:color="auto"/>
              <w:right w:val="single" w:sz="4" w:space="0" w:color="auto"/>
            </w:tcBorders>
            <w:shd w:val="clear" w:color="auto" w:fill="auto"/>
            <w:noWrap/>
          </w:tcPr>
          <w:p w:rsidR="003F4581" w:rsidRPr="008219E0" w:rsidRDefault="003F4581" w:rsidP="00320C82">
            <w:pPr>
              <w:jc w:val="right"/>
              <w:rPr>
                <w:rFonts w:ascii="Palatino Linotype" w:hAnsi="Palatino Linotype" w:cs="Arial"/>
                <w:b/>
                <w:sz w:val="18"/>
                <w:szCs w:val="18"/>
              </w:rPr>
            </w:pPr>
            <w:r>
              <w:rPr>
                <w:rFonts w:ascii="Palatino Linotype" w:hAnsi="Palatino Linotype" w:cs="Arial"/>
                <w:b/>
                <w:sz w:val="18"/>
                <w:szCs w:val="18"/>
              </w:rPr>
              <w:t>2.9</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sz w:val="18"/>
                <w:szCs w:val="18"/>
              </w:rPr>
              <w:t>4,958.8</w:t>
            </w:r>
            <w:r w:rsidRPr="00DF31BD">
              <w:rPr>
                <w:rFonts w:ascii="Palatino Linotype" w:hAnsi="Palatino Linotype" w:cs="Arial"/>
                <w:sz w:val="18"/>
                <w:szCs w:val="18"/>
              </w:rPr>
              <w:t xml:space="preserve">     </w:t>
            </w:r>
          </w:p>
        </w:tc>
        <w:tc>
          <w:tcPr>
            <w:tcW w:w="1236" w:type="dxa"/>
            <w:tcBorders>
              <w:top w:val="single" w:sz="4" w:space="0" w:color="auto"/>
              <w:left w:val="single" w:sz="4" w:space="0" w:color="auto"/>
              <w:bottom w:val="single" w:sz="4" w:space="0" w:color="auto"/>
              <w:right w:val="single" w:sz="4" w:space="0" w:color="auto"/>
            </w:tcBorders>
          </w:tcPr>
          <w:p w:rsidR="003F4581" w:rsidRDefault="003F4581" w:rsidP="00320C82">
            <w:pPr>
              <w:jc w:val="right"/>
              <w:rPr>
                <w:rFonts w:ascii="Palatino Linotype" w:hAnsi="Palatino Linotype" w:cs="Arial"/>
                <w:bCs/>
                <w:sz w:val="18"/>
                <w:szCs w:val="18"/>
              </w:rPr>
            </w:pPr>
            <w:r>
              <w:rPr>
                <w:rFonts w:ascii="Palatino Linotype" w:hAnsi="Palatino Linotype" w:cs="Arial"/>
                <w:bCs/>
                <w:sz w:val="18"/>
                <w:szCs w:val="18"/>
              </w:rPr>
              <w:t>185.4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Default="003F4581" w:rsidP="00320C82">
            <w:pPr>
              <w:jc w:val="right"/>
              <w:rPr>
                <w:rFonts w:ascii="Palatino Linotype" w:hAnsi="Palatino Linotype" w:cs="Arial"/>
                <w:bCs/>
                <w:sz w:val="18"/>
                <w:szCs w:val="18"/>
              </w:rPr>
            </w:pPr>
            <w:r>
              <w:rPr>
                <w:rFonts w:ascii="Palatino Linotype" w:hAnsi="Palatino Linotype" w:cs="Arial"/>
                <w:bCs/>
                <w:sz w:val="18"/>
                <w:szCs w:val="18"/>
              </w:rPr>
              <w:t>195.3</w:t>
            </w:r>
          </w:p>
        </w:tc>
        <w:tc>
          <w:tcPr>
            <w:tcW w:w="1344" w:type="dxa"/>
            <w:tcBorders>
              <w:top w:val="nil"/>
              <w:left w:val="nil"/>
              <w:bottom w:val="single" w:sz="4" w:space="0" w:color="auto"/>
              <w:right w:val="single" w:sz="4" w:space="0" w:color="auto"/>
            </w:tcBorders>
            <w:shd w:val="clear" w:color="auto" w:fill="auto"/>
            <w:noWrap/>
          </w:tcPr>
          <w:p w:rsidR="003F4581" w:rsidRDefault="003F4581" w:rsidP="00320C82">
            <w:pPr>
              <w:jc w:val="right"/>
              <w:rPr>
                <w:rFonts w:ascii="Palatino Linotype" w:hAnsi="Palatino Linotype" w:cs="Arial"/>
                <w:bCs/>
                <w:sz w:val="18"/>
                <w:szCs w:val="18"/>
              </w:rPr>
            </w:pPr>
            <w:r>
              <w:rPr>
                <w:rFonts w:ascii="Palatino Linotype" w:hAnsi="Palatino Linotype" w:cs="Arial"/>
                <w:bCs/>
                <w:sz w:val="18"/>
                <w:szCs w:val="18"/>
              </w:rPr>
              <w:t>5.4</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6,05,064.2</w:t>
            </w:r>
          </w:p>
        </w:tc>
        <w:tc>
          <w:tcPr>
            <w:tcW w:w="1236" w:type="dxa"/>
            <w:tcBorders>
              <w:top w:val="single" w:sz="4" w:space="0" w:color="auto"/>
              <w:left w:val="single" w:sz="4" w:space="0" w:color="auto"/>
              <w:bottom w:val="single" w:sz="4" w:space="0" w:color="auto"/>
              <w:right w:val="single" w:sz="4" w:space="0" w:color="auto"/>
            </w:tcBorders>
          </w:tcPr>
          <w:p w:rsidR="003F4581" w:rsidRDefault="003F4581" w:rsidP="00320C82">
            <w:pPr>
              <w:jc w:val="right"/>
              <w:rPr>
                <w:rFonts w:ascii="Palatino Linotype" w:hAnsi="Palatino Linotype" w:cs="Arial"/>
                <w:bCs/>
                <w:sz w:val="18"/>
                <w:szCs w:val="18"/>
              </w:rPr>
            </w:pPr>
            <w:r>
              <w:rPr>
                <w:rFonts w:ascii="Palatino Linotype" w:hAnsi="Palatino Linotype" w:cs="Arial"/>
                <w:bCs/>
                <w:sz w:val="18"/>
                <w:szCs w:val="18"/>
              </w:rPr>
              <w:t>66,089.4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Default="003F4581" w:rsidP="00320C82">
            <w:pPr>
              <w:jc w:val="right"/>
              <w:rPr>
                <w:rFonts w:ascii="Palatino Linotype" w:hAnsi="Palatino Linotype" w:cs="Arial"/>
                <w:bCs/>
                <w:sz w:val="18"/>
                <w:szCs w:val="18"/>
              </w:rPr>
            </w:pPr>
            <w:r>
              <w:rPr>
                <w:rFonts w:ascii="Palatino Linotype" w:hAnsi="Palatino Linotype" w:cs="Arial"/>
                <w:bCs/>
                <w:sz w:val="18"/>
                <w:szCs w:val="18"/>
              </w:rPr>
              <w:t>67,971.7</w:t>
            </w:r>
          </w:p>
        </w:tc>
        <w:tc>
          <w:tcPr>
            <w:tcW w:w="1344" w:type="dxa"/>
            <w:tcBorders>
              <w:top w:val="nil"/>
              <w:left w:val="nil"/>
              <w:bottom w:val="single" w:sz="4" w:space="0" w:color="auto"/>
              <w:right w:val="single" w:sz="4" w:space="0" w:color="auto"/>
            </w:tcBorders>
            <w:shd w:val="clear" w:color="auto" w:fill="auto"/>
            <w:noWrap/>
          </w:tcPr>
          <w:p w:rsidR="003F4581" w:rsidRDefault="003F4581" w:rsidP="00320C82">
            <w:pPr>
              <w:jc w:val="right"/>
              <w:rPr>
                <w:rFonts w:ascii="Palatino Linotype" w:hAnsi="Palatino Linotype" w:cs="Arial"/>
                <w:bCs/>
                <w:sz w:val="18"/>
                <w:szCs w:val="18"/>
              </w:rPr>
            </w:pPr>
            <w:r>
              <w:rPr>
                <w:rFonts w:ascii="Palatino Linotype" w:hAnsi="Palatino Linotype" w:cs="Arial"/>
                <w:bCs/>
                <w:sz w:val="18"/>
                <w:szCs w:val="18"/>
              </w:rPr>
              <w:t>2.8</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
                <w:bCs/>
                <w:sz w:val="18"/>
                <w:szCs w:val="18"/>
              </w:rPr>
            </w:pPr>
            <w:r w:rsidRPr="00DF31BD">
              <w:rPr>
                <w:rFonts w:ascii="Palatino Linotype" w:hAnsi="Palatino Linotype" w:cs="Arial"/>
                <w:b/>
                <w:bCs/>
                <w:sz w:val="18"/>
                <w:szCs w:val="18"/>
              </w:rPr>
              <w:t>NCDEX, of which</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3,18,813.8</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55,231.4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42,923.0</w:t>
            </w:r>
          </w:p>
        </w:tc>
        <w:tc>
          <w:tcPr>
            <w:tcW w:w="1344"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-22.3</w:t>
            </w:r>
          </w:p>
        </w:tc>
      </w:tr>
      <w:tr w:rsidR="003F4581" w:rsidRPr="00B92D2D" w:rsidTr="00320C82">
        <w:trPr>
          <w:trHeight w:val="310"/>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3,18,780.6</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55,196.6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42,920.5</w:t>
            </w:r>
          </w:p>
        </w:tc>
        <w:tc>
          <w:tcPr>
            <w:tcW w:w="1344"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-22.2</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sidRPr="00DF31BD">
              <w:rPr>
                <w:rFonts w:ascii="Palatino Linotype" w:hAnsi="Palatino Linotype" w:cs="Arial"/>
                <w:bCs/>
                <w:sz w:val="18"/>
                <w:szCs w:val="18"/>
              </w:rPr>
              <w:t xml:space="preserve">      </w:t>
            </w:r>
            <w:r>
              <w:rPr>
                <w:rFonts w:ascii="Palatino Linotype" w:hAnsi="Palatino Linotype" w:cs="Arial"/>
                <w:bCs/>
                <w:sz w:val="18"/>
                <w:szCs w:val="18"/>
              </w:rPr>
              <w:t xml:space="preserve">  33.2</w:t>
            </w:r>
            <w:r w:rsidRPr="00DF31BD">
              <w:rPr>
                <w:rFonts w:ascii="Palatino Linotype" w:hAnsi="Palatino Linotype" w:cs="Arial"/>
                <w:bCs/>
                <w:sz w:val="18"/>
                <w:szCs w:val="18"/>
              </w:rPr>
              <w:t xml:space="preserve"> </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34.8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2.5</w:t>
            </w:r>
          </w:p>
        </w:tc>
        <w:tc>
          <w:tcPr>
            <w:tcW w:w="1344" w:type="dxa"/>
            <w:tcBorders>
              <w:top w:val="nil"/>
              <w:left w:val="nil"/>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-92.8</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
                <w:bCs/>
                <w:sz w:val="18"/>
                <w:szCs w:val="18"/>
              </w:rPr>
              <w:t>NSE, of which</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
                <w:bCs/>
                <w:sz w:val="18"/>
                <w:szCs w:val="18"/>
              </w:rPr>
              <w:t>27,839.0</w:t>
            </w:r>
            <w:r w:rsidRPr="00DF31BD">
              <w:rPr>
                <w:rFonts w:ascii="Palatino Linotype" w:hAnsi="Palatino Linotype" w:cs="Arial"/>
                <w:b/>
                <w:bCs/>
                <w:sz w:val="18"/>
                <w:szCs w:val="18"/>
              </w:rPr>
              <w:t xml:space="preserve">        </w:t>
            </w:r>
          </w:p>
        </w:tc>
        <w:tc>
          <w:tcPr>
            <w:tcW w:w="1236" w:type="dxa"/>
            <w:tcBorders>
              <w:top w:val="single" w:sz="4" w:space="0" w:color="auto"/>
              <w:left w:val="single" w:sz="4" w:space="0" w:color="auto"/>
              <w:bottom w:val="single" w:sz="4" w:space="0" w:color="auto"/>
              <w:right w:val="single" w:sz="4" w:space="0" w:color="auto"/>
            </w:tcBorders>
          </w:tcPr>
          <w:p w:rsidR="003F4581" w:rsidRPr="00B46A54" w:rsidRDefault="003F4581" w:rsidP="00320C82">
            <w:pPr>
              <w:tabs>
                <w:tab w:val="left" w:pos="252"/>
                <w:tab w:val="center" w:pos="551"/>
              </w:tabs>
              <w:jc w:val="right"/>
              <w:rPr>
                <w:rFonts w:ascii="Palatino Linotype" w:hAnsi="Palatino Linotype" w:cs="Arial"/>
                <w:b/>
                <w:sz w:val="18"/>
                <w:szCs w:val="18"/>
              </w:rPr>
            </w:pPr>
            <w:r>
              <w:rPr>
                <w:rFonts w:ascii="Palatino Linotype" w:hAnsi="Palatino Linotype" w:cs="Arial"/>
                <w:b/>
                <w:sz w:val="18"/>
                <w:szCs w:val="18"/>
              </w:rPr>
              <w:t>1,549.6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B46A54" w:rsidRDefault="003F4581" w:rsidP="00320C82">
            <w:pPr>
              <w:tabs>
                <w:tab w:val="left" w:pos="252"/>
                <w:tab w:val="center" w:pos="551"/>
              </w:tabs>
              <w:jc w:val="right"/>
              <w:rPr>
                <w:rFonts w:ascii="Palatino Linotype" w:hAnsi="Palatino Linotype" w:cs="Arial"/>
                <w:b/>
                <w:sz w:val="18"/>
                <w:szCs w:val="18"/>
              </w:rPr>
            </w:pPr>
            <w:r>
              <w:rPr>
                <w:rFonts w:ascii="Palatino Linotype" w:hAnsi="Palatino Linotype" w:cs="Arial"/>
                <w:b/>
                <w:sz w:val="18"/>
                <w:szCs w:val="18"/>
              </w:rPr>
              <w:t>1,159.9</w:t>
            </w:r>
          </w:p>
        </w:tc>
        <w:tc>
          <w:tcPr>
            <w:tcW w:w="1344" w:type="dxa"/>
            <w:tcBorders>
              <w:top w:val="nil"/>
              <w:left w:val="nil"/>
              <w:bottom w:val="single" w:sz="4" w:space="0" w:color="auto"/>
              <w:right w:val="single" w:sz="4" w:space="0" w:color="auto"/>
            </w:tcBorders>
            <w:shd w:val="clear" w:color="auto" w:fill="auto"/>
            <w:noWrap/>
          </w:tcPr>
          <w:p w:rsidR="003F4581" w:rsidRPr="008219E0" w:rsidRDefault="003F4581" w:rsidP="00320C82">
            <w:pPr>
              <w:jc w:val="right"/>
              <w:rPr>
                <w:rFonts w:ascii="Palatino Linotype" w:hAnsi="Palatino Linotype" w:cs="Arial"/>
                <w:b/>
                <w:sz w:val="18"/>
                <w:szCs w:val="18"/>
              </w:rPr>
            </w:pPr>
            <w:r>
              <w:rPr>
                <w:rFonts w:ascii="Palatino Linotype" w:hAnsi="Palatino Linotype" w:cs="Arial"/>
                <w:b/>
                <w:sz w:val="18"/>
                <w:szCs w:val="18"/>
              </w:rPr>
              <w:t>-25.2</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sidRPr="00DF31BD">
              <w:rPr>
                <w:rFonts w:ascii="Palatino Linotype" w:hAnsi="Palatino Linotype" w:cs="Arial"/>
                <w:sz w:val="18"/>
                <w:szCs w:val="18"/>
              </w:rPr>
              <w:t xml:space="preserve">       </w:t>
            </w:r>
            <w:r>
              <w:rPr>
                <w:rFonts w:ascii="Palatino Linotype" w:hAnsi="Palatino Linotype" w:cs="Arial"/>
                <w:sz w:val="18"/>
                <w:szCs w:val="18"/>
              </w:rPr>
              <w:t>5,483.7</w:t>
            </w:r>
          </w:p>
        </w:tc>
        <w:tc>
          <w:tcPr>
            <w:tcW w:w="1236" w:type="dxa"/>
            <w:tcBorders>
              <w:top w:val="single" w:sz="4" w:space="0" w:color="auto"/>
              <w:left w:val="single" w:sz="4" w:space="0" w:color="auto"/>
              <w:bottom w:val="single" w:sz="4" w:space="0" w:color="auto"/>
              <w:right w:val="single" w:sz="4" w:space="0" w:color="auto"/>
            </w:tcBorders>
          </w:tcPr>
          <w:p w:rsidR="003F4581" w:rsidRDefault="003F4581" w:rsidP="00320C82">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599.0</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Default="003F4581" w:rsidP="00320C82">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313.7</w:t>
            </w:r>
          </w:p>
        </w:tc>
        <w:tc>
          <w:tcPr>
            <w:tcW w:w="1344" w:type="dxa"/>
            <w:tcBorders>
              <w:top w:val="nil"/>
              <w:left w:val="nil"/>
              <w:bottom w:val="single" w:sz="4" w:space="0" w:color="auto"/>
              <w:right w:val="single" w:sz="4" w:space="0" w:color="auto"/>
            </w:tcBorders>
            <w:shd w:val="clear" w:color="auto" w:fill="auto"/>
            <w:noWrap/>
          </w:tcPr>
          <w:p w:rsidR="003F4581" w:rsidRDefault="003F4581" w:rsidP="00320C82">
            <w:pPr>
              <w:jc w:val="right"/>
              <w:rPr>
                <w:rFonts w:ascii="Palatino Linotype" w:hAnsi="Palatino Linotype" w:cs="Arial"/>
                <w:bCs/>
                <w:sz w:val="18"/>
                <w:szCs w:val="18"/>
              </w:rPr>
            </w:pPr>
            <w:r>
              <w:rPr>
                <w:rFonts w:ascii="Palatino Linotype" w:hAnsi="Palatino Linotype" w:cs="Arial"/>
                <w:bCs/>
                <w:sz w:val="18"/>
                <w:szCs w:val="18"/>
              </w:rPr>
              <w:t>-47.6</w:t>
            </w:r>
          </w:p>
        </w:tc>
      </w:tr>
      <w:tr w:rsidR="003F4581" w:rsidRPr="00B92D2D" w:rsidTr="00320C82">
        <w:trPr>
          <w:trHeight w:val="308"/>
          <w:jc w:val="center"/>
        </w:trPr>
        <w:tc>
          <w:tcPr>
            <w:tcW w:w="2263" w:type="dxa"/>
            <w:tcBorders>
              <w:top w:val="nil"/>
              <w:left w:val="single" w:sz="4" w:space="0" w:color="auto"/>
              <w:bottom w:val="single" w:sz="4" w:space="0" w:color="auto"/>
              <w:right w:val="nil"/>
            </w:tcBorders>
            <w:shd w:val="clear" w:color="auto" w:fill="auto"/>
            <w:noWrap/>
          </w:tcPr>
          <w:p w:rsidR="003F4581" w:rsidRPr="00DF31BD" w:rsidRDefault="003F4581" w:rsidP="00320C82">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Cs/>
                <w:sz w:val="18"/>
                <w:szCs w:val="18"/>
              </w:rPr>
            </w:pPr>
            <w:r>
              <w:rPr>
                <w:rFonts w:ascii="Palatino Linotype" w:hAnsi="Palatino Linotype" w:cs="Arial"/>
                <w:bCs/>
                <w:sz w:val="18"/>
                <w:szCs w:val="18"/>
              </w:rPr>
              <w:t>22,355.3</w:t>
            </w:r>
          </w:p>
        </w:tc>
        <w:tc>
          <w:tcPr>
            <w:tcW w:w="1236" w:type="dxa"/>
            <w:tcBorders>
              <w:top w:val="single" w:sz="4" w:space="0" w:color="auto"/>
              <w:left w:val="single" w:sz="4" w:space="0" w:color="auto"/>
              <w:bottom w:val="single" w:sz="4" w:space="0" w:color="auto"/>
              <w:right w:val="single" w:sz="4" w:space="0" w:color="auto"/>
            </w:tcBorders>
          </w:tcPr>
          <w:p w:rsidR="003F4581" w:rsidRDefault="003F4581" w:rsidP="00320C82">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950.7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Default="003F4581" w:rsidP="00320C82">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846.2</w:t>
            </w:r>
          </w:p>
        </w:tc>
        <w:tc>
          <w:tcPr>
            <w:tcW w:w="1344" w:type="dxa"/>
            <w:tcBorders>
              <w:top w:val="nil"/>
              <w:left w:val="nil"/>
              <w:bottom w:val="single" w:sz="4" w:space="0" w:color="auto"/>
              <w:right w:val="single" w:sz="4" w:space="0" w:color="auto"/>
            </w:tcBorders>
            <w:shd w:val="clear" w:color="auto" w:fill="auto"/>
            <w:noWrap/>
          </w:tcPr>
          <w:p w:rsidR="003F4581" w:rsidRDefault="003F4581" w:rsidP="00320C82">
            <w:pPr>
              <w:jc w:val="right"/>
              <w:rPr>
                <w:rFonts w:ascii="Palatino Linotype" w:hAnsi="Palatino Linotype" w:cs="Arial"/>
                <w:bCs/>
                <w:sz w:val="18"/>
                <w:szCs w:val="18"/>
              </w:rPr>
            </w:pPr>
            <w:r>
              <w:rPr>
                <w:rFonts w:ascii="Palatino Linotype" w:hAnsi="Palatino Linotype" w:cs="Arial"/>
                <w:bCs/>
                <w:sz w:val="18"/>
                <w:szCs w:val="18"/>
              </w:rPr>
              <w:t>-11.0</w:t>
            </w:r>
          </w:p>
        </w:tc>
      </w:tr>
      <w:tr w:rsidR="003F4581" w:rsidRPr="00B92D2D" w:rsidTr="00320C82">
        <w:trPr>
          <w:trHeight w:val="224"/>
          <w:jc w:val="center"/>
        </w:trPr>
        <w:tc>
          <w:tcPr>
            <w:tcW w:w="2263" w:type="dxa"/>
            <w:tcBorders>
              <w:top w:val="nil"/>
              <w:left w:val="single" w:sz="4" w:space="0" w:color="auto"/>
              <w:bottom w:val="single" w:sz="4" w:space="0" w:color="auto"/>
              <w:right w:val="single" w:sz="4" w:space="0" w:color="auto"/>
            </w:tcBorders>
            <w:shd w:val="clear" w:color="auto" w:fill="auto"/>
            <w:hideMark/>
          </w:tcPr>
          <w:p w:rsidR="003F4581" w:rsidRPr="00DF31BD" w:rsidRDefault="003F4581" w:rsidP="00320C82">
            <w:pPr>
              <w:rPr>
                <w:rFonts w:ascii="Palatino Linotype" w:hAnsi="Palatino Linotype" w:cs="Arial"/>
                <w:b/>
                <w:bCs/>
                <w:sz w:val="18"/>
                <w:szCs w:val="18"/>
              </w:rPr>
            </w:pPr>
            <w:r w:rsidRPr="00DF31BD">
              <w:rPr>
                <w:rFonts w:ascii="Palatino Linotype" w:hAnsi="Palatino Linotype" w:cs="Arial"/>
                <w:b/>
                <w:bCs/>
                <w:sz w:val="18"/>
                <w:szCs w:val="18"/>
              </w:rPr>
              <w:t>ICEX (Futures)</w:t>
            </w:r>
          </w:p>
        </w:tc>
        <w:tc>
          <w:tcPr>
            <w:tcW w:w="1128" w:type="dxa"/>
            <w:tcBorders>
              <w:top w:val="nil"/>
              <w:left w:val="nil"/>
              <w:bottom w:val="single" w:sz="4" w:space="0" w:color="auto"/>
              <w:right w:val="single" w:sz="4" w:space="0" w:color="auto"/>
            </w:tcBorders>
            <w:shd w:val="clear" w:color="auto" w:fill="auto"/>
            <w:noWrap/>
            <w:hideMark/>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1,666.2</w:t>
            </w:r>
            <w:r w:rsidRPr="00DF31BD">
              <w:rPr>
                <w:rFonts w:ascii="Palatino Linotype" w:hAnsi="Palatino Linotype" w:cs="Arial"/>
                <w:b/>
                <w:bCs/>
                <w:sz w:val="18"/>
                <w:szCs w:val="18"/>
              </w:rPr>
              <w:t xml:space="preserve"> </w:t>
            </w:r>
          </w:p>
        </w:tc>
        <w:tc>
          <w:tcPr>
            <w:tcW w:w="1236" w:type="dxa"/>
            <w:tcBorders>
              <w:top w:val="single" w:sz="4" w:space="0" w:color="auto"/>
              <w:left w:val="single" w:sz="4" w:space="0" w:color="auto"/>
              <w:bottom w:val="single" w:sz="4" w:space="0" w:color="auto"/>
              <w:right w:val="single" w:sz="4" w:space="0" w:color="auto"/>
            </w:tcBorders>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19.0</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3F4581" w:rsidRPr="00DF31BD"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22.5</w:t>
            </w:r>
          </w:p>
        </w:tc>
        <w:tc>
          <w:tcPr>
            <w:tcW w:w="1344" w:type="dxa"/>
            <w:tcBorders>
              <w:top w:val="nil"/>
              <w:left w:val="nil"/>
              <w:bottom w:val="single" w:sz="4" w:space="0" w:color="auto"/>
              <w:right w:val="single" w:sz="4" w:space="0" w:color="auto"/>
            </w:tcBorders>
            <w:shd w:val="clear" w:color="auto" w:fill="auto"/>
            <w:noWrap/>
          </w:tcPr>
          <w:p w:rsidR="003F4581" w:rsidRPr="008219E0" w:rsidRDefault="003F4581" w:rsidP="00320C82">
            <w:pPr>
              <w:jc w:val="right"/>
              <w:rPr>
                <w:rFonts w:ascii="Palatino Linotype" w:hAnsi="Palatino Linotype" w:cs="Arial"/>
                <w:b/>
                <w:bCs/>
                <w:sz w:val="18"/>
                <w:szCs w:val="18"/>
              </w:rPr>
            </w:pPr>
            <w:r>
              <w:rPr>
                <w:rFonts w:ascii="Palatino Linotype" w:hAnsi="Palatino Linotype" w:cs="Arial"/>
                <w:b/>
                <w:bCs/>
                <w:sz w:val="18"/>
                <w:szCs w:val="18"/>
              </w:rPr>
              <w:t>18.9</w:t>
            </w:r>
          </w:p>
        </w:tc>
      </w:tr>
    </w:tbl>
    <w:p w:rsidR="003F4581" w:rsidRPr="00DF31BD" w:rsidRDefault="003F4581" w:rsidP="003F4581">
      <w:pPr>
        <w:jc w:val="both"/>
        <w:rPr>
          <w:rFonts w:ascii="Palatino Linotype" w:hAnsi="Palatino Linotype" w:cs="Arial"/>
          <w:b/>
          <w:bCs/>
          <w:sz w:val="18"/>
          <w:szCs w:val="18"/>
        </w:rPr>
      </w:pPr>
      <w:r w:rsidRPr="00DF31BD">
        <w:rPr>
          <w:rFonts w:ascii="Palatino Linotype" w:hAnsi="Palatino Linotype" w:cs="Arial"/>
          <w:b/>
          <w:bCs/>
          <w:sz w:val="18"/>
          <w:szCs w:val="18"/>
        </w:rPr>
        <w:t xml:space="preserve"> Source: </w:t>
      </w:r>
      <w:r>
        <w:rPr>
          <w:rFonts w:ascii="Palatino Linotype" w:hAnsi="Palatino Linotype" w:cs="Arial"/>
          <w:b/>
          <w:bCs/>
          <w:sz w:val="18"/>
          <w:szCs w:val="18"/>
        </w:rPr>
        <w:t>MCX, BSE, NCDEX, NSE, ICEX</w:t>
      </w:r>
      <w:r w:rsidRPr="00DF31BD">
        <w:rPr>
          <w:rFonts w:ascii="Palatino Linotype" w:hAnsi="Palatino Linotype" w:cs="Arial"/>
          <w:b/>
          <w:bCs/>
          <w:sz w:val="18"/>
          <w:szCs w:val="18"/>
        </w:rPr>
        <w:t>.</w:t>
      </w:r>
    </w:p>
    <w:p w:rsidR="003F4581" w:rsidRPr="00DF31BD" w:rsidRDefault="003F4581" w:rsidP="003F4581">
      <w:pPr>
        <w:jc w:val="both"/>
        <w:rPr>
          <w:rFonts w:ascii="Palatino Linotype" w:hAnsi="Palatino Linotype" w:cs="Arial"/>
          <w:b/>
          <w:bCs/>
          <w:sz w:val="18"/>
          <w:szCs w:val="18"/>
        </w:rPr>
      </w:pPr>
    </w:p>
    <w:p w:rsidR="003F4581" w:rsidRPr="00B92D2D" w:rsidRDefault="003F4581" w:rsidP="003F4581">
      <w:pPr>
        <w:ind w:left="-284"/>
        <w:jc w:val="both"/>
        <w:rPr>
          <w:rFonts w:ascii="Palatino Linotype" w:hAnsi="Palatino Linotype" w:cs="Arial"/>
          <w:bCs/>
        </w:rPr>
      </w:pPr>
      <w:r>
        <w:rPr>
          <w:rFonts w:ascii="Palatino Linotype" w:hAnsi="Palatino Linotype" w:cs="Arial"/>
          <w:b/>
          <w:bCs/>
        </w:rPr>
        <w:t xml:space="preserve">B.       </w:t>
      </w:r>
      <w:r w:rsidRPr="00B92D2D">
        <w:rPr>
          <w:rFonts w:ascii="Palatino Linotype" w:hAnsi="Palatino Linotype" w:cs="Arial"/>
          <w:b/>
          <w:bCs/>
        </w:rPr>
        <w:t>Turnover</w:t>
      </w:r>
    </w:p>
    <w:p w:rsidR="003F4581" w:rsidRDefault="003F4581" w:rsidP="003F4581">
      <w:pPr>
        <w:jc w:val="both"/>
        <w:rPr>
          <w:rFonts w:ascii="Palatino Linotype" w:hAnsi="Palatino Linotype" w:cs="Arial"/>
          <w:bCs/>
        </w:rPr>
      </w:pPr>
    </w:p>
    <w:p w:rsidR="003F4581" w:rsidRDefault="003F4581" w:rsidP="003F4581">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sidRPr="007145DC">
        <w:rPr>
          <w:rFonts w:ascii="Palatino Linotype" w:eastAsia="Times New Roman" w:hAnsi="Palatino Linotype"/>
          <w:color w:val="000000"/>
          <w:sz w:val="22"/>
          <w:szCs w:val="22"/>
        </w:rPr>
        <w:t xml:space="preserve">During </w:t>
      </w:r>
      <w:r>
        <w:rPr>
          <w:rFonts w:ascii="Palatino Linotype" w:eastAsia="Times New Roman" w:hAnsi="Palatino Linotype"/>
          <w:color w:val="000000"/>
          <w:sz w:val="22"/>
          <w:szCs w:val="22"/>
        </w:rPr>
        <w:t>May</w:t>
      </w:r>
      <w:r w:rsidRPr="007145DC">
        <w:rPr>
          <w:rFonts w:ascii="Palatino Linotype" w:eastAsia="Times New Roman" w:hAnsi="Palatino Linotype"/>
          <w:color w:val="000000"/>
          <w:sz w:val="22"/>
          <w:szCs w:val="22"/>
        </w:rPr>
        <w:t xml:space="preserve"> 2021, pan- India turnover of the commodity derivatives </w:t>
      </w:r>
      <w:r>
        <w:rPr>
          <w:rFonts w:ascii="Palatino Linotype" w:eastAsia="Times New Roman" w:hAnsi="Palatino Linotype"/>
          <w:color w:val="000000"/>
          <w:sz w:val="22"/>
          <w:szCs w:val="22"/>
        </w:rPr>
        <w:t>in</w:t>
      </w:r>
      <w:r w:rsidRPr="007145DC">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19.0</w:t>
      </w:r>
      <w:r w:rsidRPr="007145DC">
        <w:rPr>
          <w:rFonts w:ascii="Palatino Linotype" w:eastAsia="Times New Roman" w:hAnsi="Palatino Linotype"/>
          <w:color w:val="000000"/>
          <w:sz w:val="22"/>
          <w:szCs w:val="22"/>
        </w:rPr>
        <w:t xml:space="preserve"> per cent to ₹</w:t>
      </w:r>
      <w:r>
        <w:rPr>
          <w:rFonts w:ascii="Palatino Linotype" w:eastAsia="Times New Roman" w:hAnsi="Palatino Linotype"/>
          <w:color w:val="000000"/>
          <w:sz w:val="22"/>
          <w:szCs w:val="22"/>
        </w:rPr>
        <w:t>8,22,175.8</w:t>
      </w:r>
      <w:r w:rsidRPr="007145DC">
        <w:rPr>
          <w:rFonts w:ascii="Palatino Linotype" w:eastAsia="Times New Roman" w:hAnsi="Palatino Linotype"/>
          <w:color w:val="000000"/>
          <w:sz w:val="22"/>
          <w:szCs w:val="22"/>
        </w:rPr>
        <w:t xml:space="preserve"> crore</w:t>
      </w:r>
      <w:r>
        <w:rPr>
          <w:rFonts w:ascii="Palatino Linotype" w:eastAsia="Times New Roman" w:hAnsi="Palatino Linotype"/>
          <w:color w:val="000000"/>
          <w:sz w:val="22"/>
          <w:szCs w:val="22"/>
        </w:rPr>
        <w:t xml:space="preserve">.  This increase was driven by 23.0 per cent more turnover of non-agri. segment, which accounted for 93.4 per cent of the total turnover.  However, the turnover of agri. segment decreased by 21 per cent.  </w:t>
      </w:r>
      <w:r w:rsidRPr="007145DC">
        <w:rPr>
          <w:rFonts w:ascii="Palatino Linotype" w:eastAsia="Times New Roman" w:hAnsi="Palatino Linotype"/>
          <w:color w:val="000000"/>
          <w:sz w:val="22"/>
          <w:szCs w:val="22"/>
        </w:rPr>
        <w:t>The agri</w:t>
      </w:r>
      <w:r>
        <w:rPr>
          <w:rFonts w:ascii="Palatino Linotype" w:eastAsia="Times New Roman" w:hAnsi="Palatino Linotype"/>
          <w:color w:val="000000"/>
          <w:sz w:val="22"/>
          <w:szCs w:val="22"/>
        </w:rPr>
        <w:t xml:space="preserve">. </w:t>
      </w:r>
      <w:r w:rsidRPr="007145DC">
        <w:rPr>
          <w:rFonts w:ascii="Palatino Linotype" w:eastAsia="Times New Roman" w:hAnsi="Palatino Linotype"/>
          <w:color w:val="000000"/>
          <w:sz w:val="22"/>
          <w:szCs w:val="22"/>
        </w:rPr>
        <w:t>segment</w:t>
      </w:r>
      <w:r>
        <w:rPr>
          <w:rFonts w:ascii="Palatino Linotype" w:eastAsia="Times New Roman" w:hAnsi="Palatino Linotype"/>
          <w:color w:val="000000"/>
          <w:sz w:val="22"/>
          <w:szCs w:val="22"/>
        </w:rPr>
        <w:t xml:space="preserve"> </w:t>
      </w:r>
      <w:r w:rsidRPr="007145DC">
        <w:rPr>
          <w:rFonts w:ascii="Palatino Linotype" w:eastAsia="Times New Roman" w:hAnsi="Palatino Linotype"/>
          <w:color w:val="000000"/>
          <w:sz w:val="22"/>
          <w:szCs w:val="22"/>
        </w:rPr>
        <w:t xml:space="preserve">contributed </w:t>
      </w:r>
      <w:r>
        <w:rPr>
          <w:rFonts w:ascii="Palatino Linotype" w:eastAsia="Times New Roman" w:hAnsi="Palatino Linotype"/>
          <w:color w:val="000000"/>
          <w:sz w:val="22"/>
          <w:szCs w:val="22"/>
        </w:rPr>
        <w:t>6.6</w:t>
      </w:r>
      <w:r w:rsidRPr="007145DC">
        <w:rPr>
          <w:rFonts w:ascii="Palatino Linotype" w:eastAsia="Times New Roman" w:hAnsi="Palatino Linotype"/>
          <w:color w:val="000000"/>
          <w:sz w:val="22"/>
          <w:szCs w:val="22"/>
        </w:rPr>
        <w:t xml:space="preserve"> per cent to the total turnover</w:t>
      </w:r>
      <w:r>
        <w:rPr>
          <w:rFonts w:ascii="Palatino Linotype" w:eastAsia="Times New Roman" w:hAnsi="Palatino Linotype"/>
          <w:color w:val="000000"/>
          <w:sz w:val="22"/>
          <w:szCs w:val="22"/>
        </w:rPr>
        <w:t xml:space="preserve">. In terms of product wise segments, futures and options contracts contributed 86.6 per cent and 13.4 per cent to the total turnover. </w:t>
      </w:r>
    </w:p>
    <w:p w:rsidR="003F4581" w:rsidRPr="007145DC" w:rsidRDefault="003F4581" w:rsidP="003F4581">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Pr>
          <w:rFonts w:ascii="Palatino Linotype" w:eastAsia="Times New Roman" w:hAnsi="Palatino Linotype"/>
          <w:color w:val="000000"/>
          <w:sz w:val="22"/>
          <w:szCs w:val="22"/>
        </w:rPr>
        <w:t xml:space="preserve">Among the exchanges, the </w:t>
      </w:r>
      <w:r w:rsidRPr="007145DC">
        <w:rPr>
          <w:rFonts w:ascii="Palatino Linotype" w:eastAsia="Times New Roman" w:hAnsi="Palatino Linotype"/>
          <w:color w:val="000000"/>
          <w:sz w:val="22"/>
          <w:szCs w:val="22"/>
        </w:rPr>
        <w:t xml:space="preserve">turnover </w:t>
      </w:r>
      <w:r>
        <w:rPr>
          <w:rFonts w:ascii="Palatino Linotype" w:eastAsia="Times New Roman" w:hAnsi="Palatino Linotype"/>
          <w:color w:val="000000"/>
          <w:sz w:val="22"/>
          <w:szCs w:val="22"/>
        </w:rPr>
        <w:t xml:space="preserve">increased </w:t>
      </w:r>
      <w:r w:rsidRPr="007145DC">
        <w:rPr>
          <w:rFonts w:ascii="Palatino Linotype" w:eastAsia="Times New Roman" w:hAnsi="Palatino Linotype"/>
          <w:color w:val="000000"/>
          <w:sz w:val="22"/>
          <w:szCs w:val="22"/>
        </w:rPr>
        <w:t xml:space="preserve">at </w:t>
      </w:r>
      <w:r>
        <w:rPr>
          <w:rFonts w:ascii="Palatino Linotype" w:eastAsia="Times New Roman" w:hAnsi="Palatino Linotype"/>
          <w:color w:val="000000"/>
          <w:sz w:val="22"/>
          <w:szCs w:val="22"/>
        </w:rPr>
        <w:t>MCX, BSE and ICEX while, it decreased  at NCDEX and NSE .</w:t>
      </w:r>
    </w:p>
    <w:p w:rsidR="003F4581" w:rsidRPr="007145DC" w:rsidRDefault="003F4581" w:rsidP="003F4581">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sidRPr="007145DC">
        <w:rPr>
          <w:rFonts w:ascii="Palatino Linotype" w:eastAsia="Times New Roman" w:hAnsi="Palatino Linotype"/>
          <w:color w:val="000000"/>
          <w:sz w:val="22"/>
          <w:szCs w:val="22"/>
        </w:rPr>
        <w:t xml:space="preserve">The turnover at MCX </w:t>
      </w:r>
      <w:r>
        <w:rPr>
          <w:rFonts w:ascii="Palatino Linotype" w:eastAsia="Times New Roman" w:hAnsi="Palatino Linotype"/>
          <w:color w:val="000000"/>
          <w:sz w:val="22"/>
          <w:szCs w:val="22"/>
        </w:rPr>
        <w:t>in</w:t>
      </w:r>
      <w:r w:rsidRPr="007145DC">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25</w:t>
      </w:r>
      <w:r w:rsidRPr="007145DC">
        <w:rPr>
          <w:rFonts w:ascii="Palatino Linotype" w:eastAsia="Times New Roman" w:hAnsi="Palatino Linotype"/>
          <w:color w:val="000000"/>
          <w:sz w:val="22"/>
          <w:szCs w:val="22"/>
        </w:rPr>
        <w:t xml:space="preserve"> per cent to ₹7,</w:t>
      </w:r>
      <w:r>
        <w:rPr>
          <w:rFonts w:ascii="Palatino Linotype" w:eastAsia="Times New Roman" w:hAnsi="Palatino Linotype"/>
          <w:color w:val="000000"/>
          <w:sz w:val="22"/>
          <w:szCs w:val="22"/>
        </w:rPr>
        <w:t>09,903.4</w:t>
      </w:r>
      <w:r w:rsidRPr="007145DC">
        <w:rPr>
          <w:rFonts w:ascii="Palatino Linotype" w:eastAsia="Times New Roman" w:hAnsi="Palatino Linotype"/>
          <w:color w:val="000000"/>
          <w:sz w:val="22"/>
          <w:szCs w:val="22"/>
        </w:rPr>
        <w:t xml:space="preserve"> crore during </w:t>
      </w:r>
      <w:r>
        <w:rPr>
          <w:rFonts w:ascii="Palatino Linotype" w:eastAsia="Times New Roman" w:hAnsi="Palatino Linotype"/>
          <w:color w:val="000000"/>
          <w:sz w:val="22"/>
          <w:szCs w:val="22"/>
        </w:rPr>
        <w:t>May</w:t>
      </w:r>
      <w:r w:rsidRPr="007145DC">
        <w:rPr>
          <w:rFonts w:ascii="Palatino Linotype" w:eastAsia="Times New Roman" w:hAnsi="Palatino Linotype"/>
          <w:color w:val="000000"/>
          <w:sz w:val="22"/>
          <w:szCs w:val="22"/>
        </w:rPr>
        <w:t xml:space="preserve"> 2021</w:t>
      </w:r>
      <w:r>
        <w:rPr>
          <w:rFonts w:ascii="Palatino Linotype" w:eastAsia="Times New Roman" w:hAnsi="Palatino Linotype"/>
          <w:color w:val="000000"/>
          <w:sz w:val="22"/>
          <w:szCs w:val="22"/>
        </w:rPr>
        <w:t>,</w:t>
      </w:r>
      <w:r w:rsidRPr="007145DC">
        <w:rPr>
          <w:rFonts w:ascii="Palatino Linotype" w:eastAsia="Times New Roman" w:hAnsi="Palatino Linotype"/>
          <w:color w:val="000000"/>
          <w:sz w:val="22"/>
          <w:szCs w:val="22"/>
        </w:rPr>
        <w:t xml:space="preserve"> driven bullion</w:t>
      </w:r>
      <w:r>
        <w:rPr>
          <w:rFonts w:ascii="Palatino Linotype" w:eastAsia="Times New Roman" w:hAnsi="Palatino Linotype"/>
          <w:color w:val="000000"/>
          <w:sz w:val="22"/>
          <w:szCs w:val="22"/>
        </w:rPr>
        <w:t xml:space="preserve"> and </w:t>
      </w:r>
      <w:r w:rsidRPr="007145DC">
        <w:rPr>
          <w:rFonts w:ascii="Palatino Linotype" w:eastAsia="Times New Roman" w:hAnsi="Palatino Linotype"/>
          <w:color w:val="000000"/>
          <w:sz w:val="22"/>
          <w:szCs w:val="22"/>
        </w:rPr>
        <w:t xml:space="preserve">metal futures </w:t>
      </w:r>
      <w:r>
        <w:rPr>
          <w:rFonts w:ascii="Palatino Linotype" w:eastAsia="Times New Roman" w:hAnsi="Palatino Linotype"/>
          <w:color w:val="000000"/>
          <w:sz w:val="22"/>
          <w:szCs w:val="22"/>
        </w:rPr>
        <w:t xml:space="preserve">which increased </w:t>
      </w:r>
      <w:r w:rsidRPr="007145DC">
        <w:rPr>
          <w:rFonts w:ascii="Palatino Linotype" w:eastAsia="Times New Roman" w:hAnsi="Palatino Linotype"/>
          <w:color w:val="000000"/>
          <w:sz w:val="22"/>
          <w:szCs w:val="22"/>
        </w:rPr>
        <w:t xml:space="preserve">by </w:t>
      </w:r>
      <w:r>
        <w:rPr>
          <w:rFonts w:ascii="Palatino Linotype" w:eastAsia="Times New Roman" w:hAnsi="Palatino Linotype"/>
          <w:color w:val="000000"/>
          <w:sz w:val="22"/>
          <w:szCs w:val="22"/>
        </w:rPr>
        <w:t>27.8</w:t>
      </w:r>
      <w:r w:rsidRPr="007145DC">
        <w:rPr>
          <w:rFonts w:ascii="Palatino Linotype" w:eastAsia="Times New Roman" w:hAnsi="Palatino Linotype"/>
          <w:color w:val="000000"/>
          <w:sz w:val="22"/>
          <w:szCs w:val="22"/>
        </w:rPr>
        <w:t xml:space="preserve"> per cent</w:t>
      </w:r>
      <w:r>
        <w:rPr>
          <w:rFonts w:ascii="Palatino Linotype" w:eastAsia="Times New Roman" w:hAnsi="Palatino Linotype"/>
          <w:color w:val="000000"/>
          <w:sz w:val="22"/>
          <w:szCs w:val="22"/>
        </w:rPr>
        <w:t xml:space="preserve"> and 62.7</w:t>
      </w:r>
      <w:r w:rsidRPr="007145DC">
        <w:rPr>
          <w:rFonts w:ascii="Palatino Linotype" w:eastAsia="Times New Roman" w:hAnsi="Palatino Linotype"/>
          <w:color w:val="000000"/>
          <w:sz w:val="22"/>
          <w:szCs w:val="22"/>
        </w:rPr>
        <w:t xml:space="preserve"> per cent respectively. </w:t>
      </w:r>
      <w:r>
        <w:rPr>
          <w:rFonts w:ascii="Palatino Linotype" w:eastAsia="Times New Roman" w:hAnsi="Palatino Linotype"/>
          <w:color w:val="000000"/>
          <w:sz w:val="22"/>
          <w:szCs w:val="22"/>
        </w:rPr>
        <w:t xml:space="preserve">However, turnover in futures contracts of agri. and energy segments declined by 14.4 per cent and 2.2 per cent, respectively. </w:t>
      </w:r>
      <w:r w:rsidRPr="007145DC">
        <w:rPr>
          <w:rFonts w:ascii="Palatino Linotype" w:eastAsia="Times New Roman" w:hAnsi="Palatino Linotype"/>
          <w:color w:val="000000"/>
          <w:sz w:val="22"/>
          <w:szCs w:val="22"/>
        </w:rPr>
        <w:t xml:space="preserve">The turnover in iCOMDEX bullion and iCOMDEX metal index futures </w:t>
      </w:r>
      <w:r>
        <w:rPr>
          <w:rFonts w:ascii="Palatino Linotype" w:eastAsia="Times New Roman" w:hAnsi="Palatino Linotype"/>
          <w:color w:val="000000"/>
          <w:sz w:val="22"/>
          <w:szCs w:val="22"/>
        </w:rPr>
        <w:t>in</w:t>
      </w:r>
      <w:r w:rsidRPr="007145DC">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26.8</w:t>
      </w:r>
      <w:r w:rsidRPr="007145DC">
        <w:rPr>
          <w:rFonts w:ascii="Palatino Linotype" w:eastAsia="Times New Roman" w:hAnsi="Palatino Linotype"/>
          <w:color w:val="000000"/>
          <w:sz w:val="22"/>
          <w:szCs w:val="22"/>
        </w:rPr>
        <w:t xml:space="preserve"> per cent and </w:t>
      </w:r>
      <w:r>
        <w:rPr>
          <w:rFonts w:ascii="Palatino Linotype" w:eastAsia="Times New Roman" w:hAnsi="Palatino Linotype"/>
          <w:color w:val="000000"/>
          <w:sz w:val="22"/>
          <w:szCs w:val="22"/>
        </w:rPr>
        <w:t>102.5</w:t>
      </w:r>
      <w:r w:rsidRPr="007145DC">
        <w:rPr>
          <w:rFonts w:ascii="Palatino Linotype" w:eastAsia="Times New Roman" w:hAnsi="Palatino Linotype"/>
          <w:color w:val="000000"/>
          <w:sz w:val="22"/>
          <w:szCs w:val="22"/>
        </w:rPr>
        <w:t xml:space="preserve"> per cent to ₹ </w:t>
      </w:r>
      <w:r>
        <w:rPr>
          <w:rFonts w:ascii="Palatino Linotype" w:eastAsia="Times New Roman" w:hAnsi="Palatino Linotype"/>
          <w:color w:val="000000"/>
          <w:sz w:val="22"/>
          <w:szCs w:val="22"/>
        </w:rPr>
        <w:t>4,668.3</w:t>
      </w:r>
      <w:r w:rsidRPr="007145DC">
        <w:rPr>
          <w:rFonts w:ascii="Palatino Linotype" w:eastAsia="Times New Roman" w:hAnsi="Palatino Linotype"/>
          <w:color w:val="000000"/>
          <w:sz w:val="22"/>
          <w:szCs w:val="22"/>
        </w:rPr>
        <w:t xml:space="preserve"> crore and ₹ </w:t>
      </w:r>
      <w:r>
        <w:rPr>
          <w:rFonts w:ascii="Palatino Linotype" w:eastAsia="Times New Roman" w:hAnsi="Palatino Linotype"/>
          <w:color w:val="000000"/>
          <w:sz w:val="22"/>
          <w:szCs w:val="22"/>
        </w:rPr>
        <w:t>3,594.1</w:t>
      </w:r>
      <w:r w:rsidRPr="007145DC">
        <w:rPr>
          <w:rFonts w:ascii="Palatino Linotype" w:eastAsia="Times New Roman" w:hAnsi="Palatino Linotype"/>
          <w:color w:val="000000"/>
          <w:sz w:val="22"/>
          <w:szCs w:val="22"/>
        </w:rPr>
        <w:t xml:space="preserve"> crore respectively.</w:t>
      </w:r>
    </w:p>
    <w:p w:rsidR="003F4581" w:rsidRPr="007145DC" w:rsidRDefault="003F4581" w:rsidP="003F4581">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sidRPr="007145DC">
        <w:rPr>
          <w:rFonts w:ascii="Palatino Linotype" w:eastAsia="Times New Roman" w:hAnsi="Palatino Linotype"/>
          <w:color w:val="000000"/>
          <w:sz w:val="22"/>
          <w:szCs w:val="22"/>
        </w:rPr>
        <w:t xml:space="preserve">The notional turnover of options </w:t>
      </w:r>
      <w:r>
        <w:rPr>
          <w:rFonts w:ascii="Palatino Linotype" w:eastAsia="Times New Roman" w:hAnsi="Palatino Linotype"/>
          <w:color w:val="000000"/>
          <w:sz w:val="22"/>
          <w:szCs w:val="22"/>
        </w:rPr>
        <w:t xml:space="preserve">contracts </w:t>
      </w:r>
      <w:r w:rsidRPr="007145DC">
        <w:rPr>
          <w:rFonts w:ascii="Palatino Linotype" w:eastAsia="Times New Roman" w:hAnsi="Palatino Linotype"/>
          <w:color w:val="000000"/>
          <w:sz w:val="22"/>
          <w:szCs w:val="22"/>
        </w:rPr>
        <w:t xml:space="preserve">at MCX increased by </w:t>
      </w:r>
      <w:r>
        <w:rPr>
          <w:rFonts w:ascii="Palatino Linotype" w:eastAsia="Times New Roman" w:hAnsi="Palatino Linotype"/>
          <w:color w:val="000000"/>
          <w:sz w:val="22"/>
          <w:szCs w:val="22"/>
        </w:rPr>
        <w:t>40.3</w:t>
      </w:r>
      <w:r w:rsidRPr="007145DC">
        <w:rPr>
          <w:rFonts w:ascii="Palatino Linotype" w:eastAsia="Times New Roman" w:hAnsi="Palatino Linotype"/>
          <w:color w:val="000000"/>
          <w:sz w:val="22"/>
          <w:szCs w:val="22"/>
        </w:rPr>
        <w:t xml:space="preserve"> per cent</w:t>
      </w:r>
      <w:r>
        <w:rPr>
          <w:rFonts w:ascii="Palatino Linotype" w:eastAsia="Times New Roman" w:hAnsi="Palatino Linotype"/>
          <w:color w:val="000000"/>
          <w:sz w:val="22"/>
          <w:szCs w:val="22"/>
        </w:rPr>
        <w:t xml:space="preserve"> to </w:t>
      </w:r>
      <w:r w:rsidRPr="007145DC">
        <w:rPr>
          <w:rFonts w:ascii="Palatino Linotype" w:eastAsia="Times New Roman" w:hAnsi="Palatino Linotype"/>
          <w:color w:val="000000"/>
          <w:sz w:val="22"/>
          <w:szCs w:val="22"/>
        </w:rPr>
        <w:t>₹</w:t>
      </w:r>
      <w:r>
        <w:rPr>
          <w:rFonts w:ascii="Palatino Linotype" w:eastAsia="Times New Roman" w:hAnsi="Palatino Linotype"/>
          <w:color w:val="000000"/>
          <w:sz w:val="22"/>
          <w:szCs w:val="22"/>
        </w:rPr>
        <w:t>41,738 crore</w:t>
      </w:r>
      <w:r w:rsidRPr="007145DC">
        <w:rPr>
          <w:rFonts w:ascii="Palatino Linotype" w:eastAsia="Times New Roman" w:hAnsi="Palatino Linotype"/>
          <w:color w:val="000000"/>
          <w:sz w:val="22"/>
          <w:szCs w:val="22"/>
        </w:rPr>
        <w:t xml:space="preserve"> during the month</w:t>
      </w:r>
      <w:r>
        <w:rPr>
          <w:rFonts w:ascii="Palatino Linotype" w:eastAsia="Times New Roman" w:hAnsi="Palatino Linotype"/>
          <w:color w:val="000000"/>
          <w:sz w:val="22"/>
          <w:szCs w:val="22"/>
        </w:rPr>
        <w:t>.  The options turnover of all the three segments namely, bullion, metals and energy traded at MCX recorded an increase of 86.4</w:t>
      </w:r>
      <w:r w:rsidRPr="007145DC">
        <w:rPr>
          <w:rFonts w:ascii="Palatino Linotype" w:eastAsia="Times New Roman" w:hAnsi="Palatino Linotype"/>
          <w:color w:val="000000"/>
          <w:sz w:val="22"/>
          <w:szCs w:val="22"/>
        </w:rPr>
        <w:t xml:space="preserve"> per cent</w:t>
      </w:r>
      <w:r>
        <w:rPr>
          <w:rFonts w:ascii="Palatino Linotype" w:eastAsia="Times New Roman" w:hAnsi="Palatino Linotype"/>
          <w:color w:val="000000"/>
          <w:sz w:val="22"/>
          <w:szCs w:val="22"/>
        </w:rPr>
        <w:t>, 121.4 per cent and 18.3 per cent, respectively</w:t>
      </w:r>
      <w:r w:rsidRPr="007145DC">
        <w:rPr>
          <w:rFonts w:ascii="Palatino Linotype" w:eastAsia="Times New Roman" w:hAnsi="Palatino Linotype"/>
          <w:color w:val="000000"/>
          <w:sz w:val="22"/>
          <w:szCs w:val="22"/>
        </w:rPr>
        <w:t xml:space="preserve">. The </w:t>
      </w:r>
      <w:r>
        <w:rPr>
          <w:rFonts w:ascii="Palatino Linotype" w:eastAsia="Times New Roman" w:hAnsi="Palatino Linotype"/>
          <w:color w:val="000000"/>
          <w:sz w:val="22"/>
          <w:szCs w:val="22"/>
        </w:rPr>
        <w:t xml:space="preserve">turnover in </w:t>
      </w:r>
      <w:r w:rsidRPr="007145DC">
        <w:rPr>
          <w:rFonts w:ascii="Palatino Linotype" w:eastAsia="Times New Roman" w:hAnsi="Palatino Linotype"/>
          <w:color w:val="000000"/>
          <w:sz w:val="22"/>
          <w:szCs w:val="22"/>
        </w:rPr>
        <w:t>options contracts contributed 5.</w:t>
      </w:r>
      <w:r>
        <w:rPr>
          <w:rFonts w:ascii="Palatino Linotype" w:eastAsia="Times New Roman" w:hAnsi="Palatino Linotype"/>
          <w:color w:val="000000"/>
          <w:sz w:val="22"/>
          <w:szCs w:val="22"/>
        </w:rPr>
        <w:t>9</w:t>
      </w:r>
      <w:r w:rsidRPr="007145DC">
        <w:rPr>
          <w:rFonts w:ascii="Palatino Linotype" w:eastAsia="Times New Roman" w:hAnsi="Palatino Linotype"/>
          <w:color w:val="000000"/>
          <w:sz w:val="22"/>
          <w:szCs w:val="22"/>
        </w:rPr>
        <w:t xml:space="preserve"> per cent to the total turnover at MCX.</w:t>
      </w:r>
    </w:p>
    <w:p w:rsidR="003F4581" w:rsidRPr="007145DC" w:rsidRDefault="003F4581" w:rsidP="003F4581">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Pr>
          <w:rFonts w:ascii="Palatino Linotype" w:eastAsia="Times New Roman" w:hAnsi="Palatino Linotype"/>
          <w:color w:val="000000"/>
          <w:sz w:val="22"/>
          <w:szCs w:val="22"/>
        </w:rPr>
        <w:t>During May 2021, t</w:t>
      </w:r>
      <w:r w:rsidRPr="007145DC">
        <w:rPr>
          <w:rFonts w:ascii="Palatino Linotype" w:eastAsia="Times New Roman" w:hAnsi="Palatino Linotype"/>
          <w:color w:val="000000"/>
          <w:sz w:val="22"/>
          <w:szCs w:val="22"/>
        </w:rPr>
        <w:t xml:space="preserve">he total turnover at BSE </w:t>
      </w:r>
      <w:r>
        <w:rPr>
          <w:rFonts w:ascii="Palatino Linotype" w:eastAsia="Times New Roman" w:hAnsi="Palatino Linotype"/>
          <w:color w:val="000000"/>
          <w:sz w:val="22"/>
          <w:szCs w:val="22"/>
        </w:rPr>
        <w:t>in</w:t>
      </w:r>
      <w:r w:rsidRPr="007145DC">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2.9</w:t>
      </w:r>
      <w:r w:rsidRPr="007145DC">
        <w:rPr>
          <w:rFonts w:ascii="Palatino Linotype" w:eastAsia="Times New Roman" w:hAnsi="Palatino Linotype"/>
          <w:color w:val="000000"/>
          <w:sz w:val="22"/>
          <w:szCs w:val="22"/>
        </w:rPr>
        <w:t xml:space="preserve"> per cent to ₹6</w:t>
      </w:r>
      <w:r>
        <w:rPr>
          <w:rFonts w:ascii="Palatino Linotype" w:eastAsia="Times New Roman" w:hAnsi="Palatino Linotype"/>
          <w:color w:val="000000"/>
          <w:sz w:val="22"/>
          <w:szCs w:val="22"/>
        </w:rPr>
        <w:t>8,167.0</w:t>
      </w:r>
      <w:r w:rsidRPr="007145DC">
        <w:rPr>
          <w:rFonts w:ascii="Palatino Linotype" w:eastAsia="Times New Roman" w:hAnsi="Palatino Linotype"/>
          <w:color w:val="000000"/>
          <w:sz w:val="22"/>
          <w:szCs w:val="22"/>
        </w:rPr>
        <w:t xml:space="preserve"> crore</w:t>
      </w:r>
      <w:r>
        <w:rPr>
          <w:rFonts w:ascii="Palatino Linotype" w:eastAsia="Times New Roman" w:hAnsi="Palatino Linotype"/>
          <w:color w:val="000000"/>
          <w:sz w:val="22"/>
          <w:szCs w:val="22"/>
        </w:rPr>
        <w:t>.  Options on gold accounted more than 99.7 per cent of the turnover of commodity derivatives contracts at BSE.  The turnover in futures contracts of agri. segment increased by 5.4</w:t>
      </w:r>
      <w:r w:rsidRPr="007145DC">
        <w:rPr>
          <w:rFonts w:ascii="Palatino Linotype" w:eastAsia="Times New Roman" w:hAnsi="Palatino Linotype"/>
          <w:color w:val="000000"/>
          <w:sz w:val="22"/>
          <w:szCs w:val="22"/>
        </w:rPr>
        <w:t xml:space="preserve"> per</w:t>
      </w:r>
      <w:r>
        <w:rPr>
          <w:rFonts w:ascii="Palatino Linotype" w:eastAsia="Times New Roman" w:hAnsi="Palatino Linotype"/>
          <w:color w:val="000000"/>
          <w:sz w:val="22"/>
          <w:szCs w:val="22"/>
        </w:rPr>
        <w:t xml:space="preserve"> to </w:t>
      </w:r>
      <w:r w:rsidRPr="007145DC">
        <w:rPr>
          <w:rFonts w:ascii="Palatino Linotype" w:eastAsia="Times New Roman" w:hAnsi="Palatino Linotype"/>
          <w:color w:val="000000"/>
          <w:sz w:val="22"/>
          <w:szCs w:val="22"/>
        </w:rPr>
        <w:t>₹</w:t>
      </w:r>
      <w:r>
        <w:rPr>
          <w:rFonts w:ascii="Palatino Linotype" w:eastAsia="Times New Roman" w:hAnsi="Palatino Linotype"/>
          <w:color w:val="000000"/>
          <w:sz w:val="22"/>
          <w:szCs w:val="22"/>
        </w:rPr>
        <w:t xml:space="preserve">184.7 crore. </w:t>
      </w:r>
    </w:p>
    <w:p w:rsidR="003F4581" w:rsidRPr="00D651BF" w:rsidRDefault="003F4581" w:rsidP="003F4581">
      <w:pPr>
        <w:pStyle w:val="ListParagraph"/>
        <w:numPr>
          <w:ilvl w:val="0"/>
          <w:numId w:val="13"/>
        </w:numPr>
        <w:tabs>
          <w:tab w:val="left" w:pos="720"/>
        </w:tabs>
        <w:spacing w:after="0" w:line="240" w:lineRule="auto"/>
        <w:ind w:hanging="668"/>
        <w:jc w:val="both"/>
        <w:rPr>
          <w:rFonts w:ascii="Palatino Linotype" w:hAnsi="Palatino Linotype" w:cs="Arial"/>
          <w:bCs/>
        </w:rPr>
      </w:pPr>
      <w:r w:rsidRPr="007145DC">
        <w:rPr>
          <w:rFonts w:ascii="Palatino Linotype" w:eastAsia="Times New Roman" w:hAnsi="Palatino Linotype"/>
          <w:color w:val="000000"/>
          <w:sz w:val="22"/>
          <w:szCs w:val="22"/>
        </w:rPr>
        <w:lastRenderedPageBreak/>
        <w:t xml:space="preserve">During the month, the total turnover at NCDEX </w:t>
      </w:r>
      <w:r>
        <w:rPr>
          <w:rFonts w:ascii="Palatino Linotype" w:eastAsia="Times New Roman" w:hAnsi="Palatino Linotype"/>
          <w:color w:val="000000"/>
          <w:sz w:val="22"/>
          <w:szCs w:val="22"/>
        </w:rPr>
        <w:t>de</w:t>
      </w:r>
      <w:r w:rsidRPr="007145DC">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22.3</w:t>
      </w:r>
      <w:r w:rsidRPr="007145DC">
        <w:rPr>
          <w:rFonts w:ascii="Palatino Linotype" w:eastAsia="Times New Roman" w:hAnsi="Palatino Linotype"/>
          <w:color w:val="000000"/>
          <w:sz w:val="22"/>
          <w:szCs w:val="22"/>
        </w:rPr>
        <w:t xml:space="preserve"> per cent to ₹ 4</w:t>
      </w:r>
      <w:r>
        <w:rPr>
          <w:rFonts w:ascii="Palatino Linotype" w:eastAsia="Times New Roman" w:hAnsi="Palatino Linotype"/>
          <w:color w:val="000000"/>
          <w:sz w:val="22"/>
          <w:szCs w:val="22"/>
        </w:rPr>
        <w:t>2,923.0</w:t>
      </w:r>
      <w:r w:rsidRPr="007145DC">
        <w:rPr>
          <w:rFonts w:ascii="Palatino Linotype" w:eastAsia="Times New Roman" w:hAnsi="Palatino Linotype"/>
          <w:color w:val="000000"/>
          <w:sz w:val="22"/>
          <w:szCs w:val="22"/>
        </w:rPr>
        <w:t xml:space="preserve"> crore</w:t>
      </w:r>
      <w:r>
        <w:rPr>
          <w:rFonts w:ascii="Palatino Linotype" w:eastAsia="Times New Roman" w:hAnsi="Palatino Linotype"/>
          <w:color w:val="000000"/>
          <w:sz w:val="22"/>
          <w:szCs w:val="22"/>
        </w:rPr>
        <w:t xml:space="preserve">.  This is on account of </w:t>
      </w:r>
      <w:r>
        <w:rPr>
          <w:rFonts w:ascii="Palatino Linotype" w:hAnsi="Palatino Linotype" w:cs="Arial"/>
          <w:bCs/>
          <w:sz w:val="22"/>
          <w:szCs w:val="22"/>
        </w:rPr>
        <w:t>de</w:t>
      </w:r>
      <w:r w:rsidRPr="00DA1314">
        <w:rPr>
          <w:rFonts w:ascii="Palatino Linotype" w:hAnsi="Palatino Linotype" w:cs="Arial"/>
          <w:bCs/>
          <w:sz w:val="22"/>
          <w:szCs w:val="22"/>
        </w:rPr>
        <w:t xml:space="preserve">crease in traded </w:t>
      </w:r>
      <w:r>
        <w:rPr>
          <w:rFonts w:ascii="Palatino Linotype" w:hAnsi="Palatino Linotype" w:cs="Arial"/>
          <w:bCs/>
          <w:sz w:val="22"/>
          <w:szCs w:val="22"/>
        </w:rPr>
        <w:t xml:space="preserve">volume </w:t>
      </w:r>
      <w:r w:rsidRPr="00DA1314">
        <w:rPr>
          <w:rFonts w:ascii="Palatino Linotype" w:hAnsi="Palatino Linotype" w:cs="Arial"/>
          <w:bCs/>
          <w:sz w:val="22"/>
          <w:szCs w:val="22"/>
        </w:rPr>
        <w:t xml:space="preserve">of </w:t>
      </w:r>
      <w:r w:rsidR="004776F0">
        <w:rPr>
          <w:rFonts w:ascii="Palatino Linotype" w:hAnsi="Palatino Linotype" w:cs="Arial"/>
          <w:bCs/>
          <w:sz w:val="22"/>
          <w:szCs w:val="22"/>
        </w:rPr>
        <w:t>13</w:t>
      </w:r>
      <w:r>
        <w:rPr>
          <w:rFonts w:ascii="Palatino Linotype" w:hAnsi="Palatino Linotype" w:cs="Arial"/>
          <w:bCs/>
          <w:sz w:val="22"/>
          <w:szCs w:val="22"/>
        </w:rPr>
        <w:t xml:space="preserve"> </w:t>
      </w:r>
      <w:r w:rsidRPr="00DA1314">
        <w:rPr>
          <w:rFonts w:ascii="Palatino Linotype" w:hAnsi="Palatino Linotype" w:cs="Arial"/>
          <w:bCs/>
          <w:sz w:val="22"/>
          <w:szCs w:val="22"/>
        </w:rPr>
        <w:t xml:space="preserve">out of total </w:t>
      </w:r>
      <w:r>
        <w:rPr>
          <w:rFonts w:ascii="Palatino Linotype" w:hAnsi="Palatino Linotype" w:cs="Arial"/>
          <w:bCs/>
          <w:sz w:val="22"/>
          <w:szCs w:val="22"/>
        </w:rPr>
        <w:t>15</w:t>
      </w:r>
      <w:r w:rsidRPr="00DA1314">
        <w:rPr>
          <w:rFonts w:ascii="Palatino Linotype" w:hAnsi="Palatino Linotype" w:cs="Arial"/>
          <w:bCs/>
          <w:sz w:val="22"/>
          <w:szCs w:val="22"/>
        </w:rPr>
        <w:t xml:space="preserve"> traded commodities. Turnover in Agridex futures </w:t>
      </w:r>
      <w:r>
        <w:rPr>
          <w:rFonts w:ascii="Palatino Linotype" w:hAnsi="Palatino Linotype" w:cs="Arial"/>
          <w:bCs/>
          <w:sz w:val="22"/>
          <w:szCs w:val="22"/>
        </w:rPr>
        <w:t>Index also de</w:t>
      </w:r>
      <w:r w:rsidRPr="00DA1314">
        <w:rPr>
          <w:rFonts w:ascii="Palatino Linotype" w:hAnsi="Palatino Linotype" w:cs="Arial"/>
          <w:bCs/>
          <w:sz w:val="22"/>
          <w:szCs w:val="22"/>
        </w:rPr>
        <w:t xml:space="preserve">creased to </w:t>
      </w:r>
      <w:r w:rsidRPr="00E15F87">
        <w:rPr>
          <w:rFonts w:ascii="Tahoma" w:hAnsi="Tahoma" w:cs="Tahoma"/>
          <w:bCs/>
          <w:sz w:val="22"/>
          <w:szCs w:val="22"/>
        </w:rPr>
        <w:t>₹</w:t>
      </w:r>
      <w:r>
        <w:rPr>
          <w:rFonts w:ascii="Tahoma" w:hAnsi="Tahoma" w:cs="Tahoma"/>
          <w:bCs/>
          <w:sz w:val="22"/>
          <w:szCs w:val="22"/>
        </w:rPr>
        <w:t xml:space="preserve"> </w:t>
      </w:r>
      <w:r w:rsidRPr="007B767C">
        <w:rPr>
          <w:rFonts w:ascii="Palatino Linotype" w:hAnsi="Palatino Linotype" w:cs="Arial"/>
          <w:bCs/>
          <w:sz w:val="22"/>
          <w:szCs w:val="22"/>
        </w:rPr>
        <w:t>5.1</w:t>
      </w:r>
      <w:r w:rsidRPr="00DA1314">
        <w:rPr>
          <w:rFonts w:ascii="Palatino Linotype" w:hAnsi="Palatino Linotype" w:cs="Arial"/>
          <w:bCs/>
          <w:sz w:val="22"/>
          <w:szCs w:val="22"/>
        </w:rPr>
        <w:t xml:space="preserve"> crore</w:t>
      </w:r>
      <w:r>
        <w:rPr>
          <w:rFonts w:ascii="Palatino Linotype" w:hAnsi="Palatino Linotype" w:cs="Arial"/>
          <w:bCs/>
          <w:sz w:val="22"/>
          <w:szCs w:val="22"/>
        </w:rPr>
        <w:t xml:space="preserve"> from </w:t>
      </w:r>
      <w:r w:rsidRPr="00E15F87">
        <w:rPr>
          <w:rFonts w:ascii="Tahoma" w:hAnsi="Tahoma" w:cs="Tahoma"/>
          <w:bCs/>
          <w:sz w:val="22"/>
          <w:szCs w:val="22"/>
        </w:rPr>
        <w:t>₹</w:t>
      </w:r>
      <w:r>
        <w:rPr>
          <w:rFonts w:ascii="Tahoma" w:hAnsi="Tahoma" w:cs="Tahoma"/>
          <w:bCs/>
          <w:sz w:val="22"/>
          <w:szCs w:val="22"/>
        </w:rPr>
        <w:t xml:space="preserve"> </w:t>
      </w:r>
      <w:r>
        <w:rPr>
          <w:rFonts w:ascii="Palatino Linotype" w:hAnsi="Palatino Linotype" w:cs="Arial"/>
          <w:bCs/>
          <w:sz w:val="22"/>
          <w:szCs w:val="22"/>
        </w:rPr>
        <w:t xml:space="preserve">9.4 crore recorded during last month. On the other hand, steel long contracts of non-agri. segment registered a total turnover of </w:t>
      </w:r>
      <w:r w:rsidRPr="00DA1314">
        <w:rPr>
          <w:rFonts w:ascii="Times New Roman" w:hAnsi="Times New Roman"/>
          <w:bCs/>
          <w:sz w:val="22"/>
          <w:szCs w:val="22"/>
        </w:rPr>
        <w:t>₹</w:t>
      </w:r>
      <w:r>
        <w:rPr>
          <w:rFonts w:ascii="Times New Roman" w:hAnsi="Times New Roman"/>
          <w:bCs/>
          <w:sz w:val="22"/>
          <w:szCs w:val="22"/>
        </w:rPr>
        <w:t xml:space="preserve">15.9 </w:t>
      </w:r>
      <w:r w:rsidRPr="00E15F87">
        <w:rPr>
          <w:rFonts w:ascii="Palatino Linotype" w:hAnsi="Palatino Linotype" w:cs="Arial"/>
          <w:bCs/>
          <w:sz w:val="22"/>
          <w:szCs w:val="22"/>
        </w:rPr>
        <w:t>crore</w:t>
      </w:r>
      <w:r>
        <w:rPr>
          <w:rFonts w:ascii="Palatino Linotype" w:hAnsi="Palatino Linotype" w:cs="Arial"/>
          <w:bCs/>
          <w:sz w:val="22"/>
          <w:szCs w:val="22"/>
        </w:rPr>
        <w:t xml:space="preserve"> during the month, an increase of 37.1 per cent over the last month.</w:t>
      </w:r>
    </w:p>
    <w:p w:rsidR="003F4581" w:rsidRDefault="003F4581" w:rsidP="003F4581">
      <w:pPr>
        <w:pStyle w:val="ListParagraph"/>
        <w:numPr>
          <w:ilvl w:val="0"/>
          <w:numId w:val="13"/>
        </w:numPr>
        <w:tabs>
          <w:tab w:val="left" w:pos="720"/>
        </w:tabs>
        <w:spacing w:after="0" w:line="240" w:lineRule="auto"/>
        <w:ind w:hanging="668"/>
        <w:jc w:val="both"/>
        <w:rPr>
          <w:rFonts w:ascii="Palatino Linotype" w:hAnsi="Palatino Linotype" w:cs="Arial"/>
          <w:bCs/>
          <w:sz w:val="22"/>
          <w:szCs w:val="22"/>
        </w:rPr>
      </w:pPr>
      <w:r>
        <w:rPr>
          <w:rFonts w:ascii="Palatino Linotype" w:hAnsi="Palatino Linotype" w:cs="Arial"/>
          <w:bCs/>
          <w:sz w:val="22"/>
          <w:szCs w:val="22"/>
        </w:rPr>
        <w:t>The total turnover at NSE de</w:t>
      </w:r>
      <w:r w:rsidRPr="009454C6">
        <w:rPr>
          <w:rFonts w:ascii="Palatino Linotype" w:hAnsi="Palatino Linotype" w:cs="Arial"/>
          <w:bCs/>
          <w:sz w:val="22"/>
          <w:szCs w:val="22"/>
        </w:rPr>
        <w:t xml:space="preserve">creased by </w:t>
      </w:r>
      <w:r>
        <w:rPr>
          <w:rFonts w:ascii="Palatino Linotype" w:hAnsi="Palatino Linotype" w:cs="Arial"/>
          <w:bCs/>
          <w:sz w:val="22"/>
          <w:szCs w:val="22"/>
        </w:rPr>
        <w:t>25.2</w:t>
      </w:r>
      <w:r w:rsidRPr="009454C6">
        <w:rPr>
          <w:rFonts w:ascii="Palatino Linotype" w:hAnsi="Palatino Linotype" w:cs="Arial"/>
          <w:bCs/>
          <w:sz w:val="22"/>
          <w:szCs w:val="22"/>
        </w:rPr>
        <w:t xml:space="preserve"> per cent to </w:t>
      </w:r>
      <w:r w:rsidRPr="007145DC">
        <w:rPr>
          <w:rFonts w:ascii="Times New Roman" w:hAnsi="Times New Roman"/>
          <w:bCs/>
          <w:sz w:val="22"/>
          <w:szCs w:val="22"/>
        </w:rPr>
        <w:t>₹</w:t>
      </w:r>
      <w:r w:rsidRPr="007145DC">
        <w:rPr>
          <w:rFonts w:ascii="Palatino Linotype" w:hAnsi="Palatino Linotype" w:cs="Arial"/>
          <w:bCs/>
          <w:sz w:val="22"/>
          <w:szCs w:val="22"/>
        </w:rPr>
        <w:t>1,</w:t>
      </w:r>
      <w:r>
        <w:rPr>
          <w:rFonts w:ascii="Palatino Linotype" w:hAnsi="Palatino Linotype" w:cs="Arial"/>
          <w:bCs/>
          <w:sz w:val="22"/>
          <w:szCs w:val="22"/>
        </w:rPr>
        <w:t>159.9</w:t>
      </w:r>
      <w:r w:rsidRPr="009454C6">
        <w:rPr>
          <w:rFonts w:ascii="Palatino Linotype" w:hAnsi="Palatino Linotype" w:cs="Arial"/>
          <w:bCs/>
          <w:sz w:val="22"/>
          <w:szCs w:val="22"/>
        </w:rPr>
        <w:t xml:space="preserve"> crore in </w:t>
      </w:r>
      <w:r>
        <w:rPr>
          <w:rFonts w:ascii="Palatino Linotype" w:hAnsi="Palatino Linotype" w:cs="Arial"/>
          <w:bCs/>
          <w:sz w:val="22"/>
          <w:szCs w:val="22"/>
        </w:rPr>
        <w:t xml:space="preserve">May 2021 </w:t>
      </w:r>
      <w:r w:rsidRPr="009454C6">
        <w:rPr>
          <w:rFonts w:ascii="Palatino Linotype" w:hAnsi="Palatino Linotype" w:cs="Arial"/>
          <w:bCs/>
          <w:sz w:val="22"/>
          <w:szCs w:val="22"/>
        </w:rPr>
        <w:t>on account of</w:t>
      </w:r>
      <w:r>
        <w:rPr>
          <w:rFonts w:ascii="Palatino Linotype" w:hAnsi="Palatino Linotype" w:cs="Arial"/>
          <w:bCs/>
          <w:sz w:val="22"/>
          <w:szCs w:val="22"/>
        </w:rPr>
        <w:t xml:space="preserve"> decrease in turnover in agri. futures and bullion options contracts by 47.6 per cent and 11 per cent respectively. The gold mini options and crude degummed soybean oil futures contract contributed 73 per cent and 26.5 per cent to the total turnover at NSE.</w:t>
      </w:r>
    </w:p>
    <w:p w:rsidR="003F4581" w:rsidRPr="00FD351C" w:rsidRDefault="003F4581" w:rsidP="003F4581">
      <w:pPr>
        <w:pStyle w:val="ListParagraph"/>
        <w:numPr>
          <w:ilvl w:val="0"/>
          <w:numId w:val="13"/>
        </w:numPr>
        <w:tabs>
          <w:tab w:val="left" w:pos="720"/>
        </w:tabs>
        <w:spacing w:after="0" w:line="240" w:lineRule="auto"/>
        <w:ind w:hanging="668"/>
        <w:jc w:val="both"/>
        <w:rPr>
          <w:rFonts w:ascii="Palatino Linotype" w:hAnsi="Palatino Linotype" w:cs="Arial"/>
          <w:bCs/>
          <w:sz w:val="22"/>
          <w:szCs w:val="22"/>
        </w:rPr>
      </w:pPr>
      <w:r w:rsidRPr="00184B26">
        <w:rPr>
          <w:rFonts w:ascii="Palatino Linotype" w:hAnsi="Palatino Linotype" w:cs="Arial"/>
          <w:bCs/>
          <w:sz w:val="22"/>
          <w:szCs w:val="22"/>
        </w:rPr>
        <w:t xml:space="preserve">In </w:t>
      </w:r>
      <w:r>
        <w:rPr>
          <w:rFonts w:ascii="Palatino Linotype" w:hAnsi="Palatino Linotype" w:cs="Arial"/>
          <w:bCs/>
          <w:sz w:val="22"/>
          <w:szCs w:val="22"/>
        </w:rPr>
        <w:t>May</w:t>
      </w:r>
      <w:r w:rsidRPr="00184B26">
        <w:rPr>
          <w:rFonts w:ascii="Palatino Linotype" w:hAnsi="Palatino Linotype" w:cs="Arial"/>
          <w:bCs/>
          <w:sz w:val="22"/>
          <w:szCs w:val="22"/>
        </w:rPr>
        <w:t xml:space="preserve"> 2021, </w:t>
      </w:r>
      <w:r w:rsidRPr="00FD351C">
        <w:rPr>
          <w:rFonts w:ascii="Palatino Linotype" w:hAnsi="Palatino Linotype" w:cs="Arial"/>
          <w:bCs/>
          <w:sz w:val="22"/>
          <w:szCs w:val="22"/>
        </w:rPr>
        <w:t xml:space="preserve">the total turnover at ICEX, </w:t>
      </w:r>
      <w:r>
        <w:rPr>
          <w:rFonts w:ascii="Palatino Linotype" w:hAnsi="Palatino Linotype" w:cs="Arial"/>
          <w:bCs/>
          <w:sz w:val="22"/>
          <w:szCs w:val="22"/>
        </w:rPr>
        <w:t>in</w:t>
      </w:r>
      <w:r w:rsidRPr="00FD351C">
        <w:rPr>
          <w:rFonts w:ascii="Palatino Linotype" w:hAnsi="Palatino Linotype" w:cs="Arial"/>
          <w:bCs/>
          <w:sz w:val="22"/>
          <w:szCs w:val="22"/>
        </w:rPr>
        <w:t xml:space="preserve">creased by </w:t>
      </w:r>
      <w:r>
        <w:rPr>
          <w:rFonts w:ascii="Palatino Linotype" w:hAnsi="Palatino Linotype" w:cs="Arial"/>
          <w:bCs/>
          <w:sz w:val="22"/>
          <w:szCs w:val="22"/>
        </w:rPr>
        <w:t>18.9</w:t>
      </w:r>
      <w:r w:rsidRPr="00FD351C">
        <w:rPr>
          <w:rFonts w:ascii="Palatino Linotype" w:hAnsi="Palatino Linotype" w:cs="Arial"/>
          <w:bCs/>
          <w:sz w:val="22"/>
          <w:szCs w:val="22"/>
        </w:rPr>
        <w:t xml:space="preserve"> per cent </w:t>
      </w:r>
      <w:r w:rsidRPr="00B92991">
        <w:rPr>
          <w:rFonts w:ascii="Palatino Linotype" w:hAnsi="Palatino Linotype" w:cs="Arial"/>
          <w:bCs/>
          <w:sz w:val="22"/>
          <w:szCs w:val="22"/>
        </w:rPr>
        <w:t xml:space="preserve">to </w:t>
      </w:r>
      <w:r w:rsidRPr="007145DC">
        <w:rPr>
          <w:rFonts w:ascii="Times New Roman" w:hAnsi="Times New Roman"/>
          <w:bCs/>
          <w:sz w:val="22"/>
          <w:szCs w:val="22"/>
        </w:rPr>
        <w:t>₹</w:t>
      </w:r>
      <w:r>
        <w:rPr>
          <w:rFonts w:ascii="Times New Roman" w:hAnsi="Times New Roman"/>
          <w:bCs/>
          <w:sz w:val="22"/>
          <w:szCs w:val="22"/>
        </w:rPr>
        <w:t>22.5</w:t>
      </w:r>
      <w:r w:rsidRPr="00FD351C">
        <w:rPr>
          <w:rFonts w:ascii="Palatino Linotype" w:hAnsi="Palatino Linotype" w:cs="Arial"/>
          <w:bCs/>
          <w:sz w:val="22"/>
          <w:szCs w:val="22"/>
        </w:rPr>
        <w:t xml:space="preserve"> crore </w:t>
      </w:r>
      <w:r>
        <w:rPr>
          <w:rFonts w:ascii="Palatino Linotype" w:hAnsi="Palatino Linotype" w:cs="Arial"/>
          <w:bCs/>
          <w:sz w:val="22"/>
          <w:szCs w:val="22"/>
        </w:rPr>
        <w:t>due to de</w:t>
      </w:r>
      <w:r w:rsidRPr="00184B26">
        <w:rPr>
          <w:rFonts w:ascii="Palatino Linotype" w:hAnsi="Palatino Linotype" w:cs="Arial"/>
          <w:bCs/>
          <w:sz w:val="22"/>
          <w:szCs w:val="22"/>
        </w:rPr>
        <w:t xml:space="preserve">crease in </w:t>
      </w:r>
      <w:r>
        <w:rPr>
          <w:rFonts w:ascii="Palatino Linotype" w:hAnsi="Palatino Linotype" w:cs="Arial"/>
          <w:bCs/>
          <w:sz w:val="22"/>
          <w:szCs w:val="22"/>
        </w:rPr>
        <w:t xml:space="preserve">turnover </w:t>
      </w:r>
      <w:r w:rsidRPr="00184B26">
        <w:rPr>
          <w:rFonts w:ascii="Palatino Linotype" w:hAnsi="Palatino Linotype" w:cs="Arial"/>
          <w:bCs/>
          <w:sz w:val="22"/>
          <w:szCs w:val="22"/>
        </w:rPr>
        <w:t xml:space="preserve">of </w:t>
      </w:r>
      <w:r>
        <w:rPr>
          <w:rFonts w:ascii="Palatino Linotype" w:hAnsi="Palatino Linotype" w:cs="Arial"/>
          <w:bCs/>
          <w:sz w:val="22"/>
          <w:szCs w:val="22"/>
        </w:rPr>
        <w:t xml:space="preserve">agri. and </w:t>
      </w:r>
      <w:r w:rsidRPr="00FD351C">
        <w:rPr>
          <w:rFonts w:ascii="Palatino Linotype" w:hAnsi="Palatino Linotype" w:cs="Arial"/>
          <w:bCs/>
          <w:sz w:val="22"/>
          <w:szCs w:val="22"/>
        </w:rPr>
        <w:t>steel long contracts</w:t>
      </w:r>
      <w:r>
        <w:rPr>
          <w:rFonts w:ascii="Palatino Linotype" w:hAnsi="Palatino Linotype" w:cs="Arial"/>
          <w:bCs/>
          <w:sz w:val="22"/>
          <w:szCs w:val="22"/>
        </w:rPr>
        <w:t xml:space="preserve"> by 25.6 per cent and 17.6 per cent respectively</w:t>
      </w:r>
      <w:r w:rsidRPr="007145DC">
        <w:rPr>
          <w:rFonts w:ascii="Palatino Linotype" w:hAnsi="Palatino Linotype" w:cs="Arial"/>
          <w:bCs/>
          <w:sz w:val="22"/>
          <w:szCs w:val="22"/>
        </w:rPr>
        <w:t>.</w:t>
      </w:r>
      <w:r w:rsidRPr="00FD351C">
        <w:rPr>
          <w:rFonts w:ascii="Palatino Linotype" w:hAnsi="Palatino Linotype" w:cs="Arial"/>
          <w:bCs/>
          <w:sz w:val="22"/>
          <w:szCs w:val="22"/>
        </w:rPr>
        <w:t xml:space="preserve"> </w:t>
      </w:r>
    </w:p>
    <w:p w:rsidR="003F4581" w:rsidRPr="00184B26" w:rsidRDefault="003F4581" w:rsidP="003F4581">
      <w:pPr>
        <w:pStyle w:val="ListParagraph"/>
        <w:numPr>
          <w:ilvl w:val="0"/>
          <w:numId w:val="13"/>
        </w:numPr>
        <w:tabs>
          <w:tab w:val="left" w:pos="720"/>
        </w:tabs>
        <w:spacing w:after="0" w:line="240" w:lineRule="auto"/>
        <w:ind w:hanging="668"/>
        <w:jc w:val="both"/>
      </w:pPr>
      <w:r w:rsidRPr="00184B26">
        <w:rPr>
          <w:rFonts w:ascii="Palatino Linotype" w:hAnsi="Palatino Linotype" w:cs="Arial"/>
          <w:bCs/>
          <w:sz w:val="22"/>
          <w:szCs w:val="22"/>
        </w:rPr>
        <w:t xml:space="preserve">The </w:t>
      </w:r>
      <w:r>
        <w:rPr>
          <w:rFonts w:ascii="Palatino Linotype" w:hAnsi="Palatino Linotype" w:cs="Arial"/>
          <w:bCs/>
          <w:sz w:val="22"/>
          <w:szCs w:val="22"/>
        </w:rPr>
        <w:t xml:space="preserve">trends in </w:t>
      </w:r>
      <w:r w:rsidRPr="00184B26">
        <w:rPr>
          <w:rFonts w:ascii="Palatino Linotype" w:hAnsi="Palatino Linotype" w:cs="Arial"/>
          <w:bCs/>
          <w:sz w:val="22"/>
          <w:szCs w:val="22"/>
        </w:rPr>
        <w:t xml:space="preserve">turnover of agricultural and non-agricultural commodities at exchanges is shown in </w:t>
      </w:r>
      <w:r w:rsidRPr="004776F0">
        <w:rPr>
          <w:rFonts w:ascii="Palatino Linotype" w:hAnsi="Palatino Linotype" w:cs="Arial"/>
          <w:b/>
          <w:sz w:val="22"/>
          <w:szCs w:val="22"/>
        </w:rPr>
        <w:t>Figures 15, 16</w:t>
      </w:r>
      <w:r w:rsidRPr="00B92991">
        <w:rPr>
          <w:rFonts w:ascii="Palatino Linotype" w:hAnsi="Palatino Linotype" w:cs="Arial"/>
          <w:bCs/>
          <w:sz w:val="22"/>
          <w:szCs w:val="22"/>
        </w:rPr>
        <w:t xml:space="preserve"> and </w:t>
      </w:r>
      <w:r w:rsidRPr="004776F0">
        <w:rPr>
          <w:rFonts w:ascii="Palatino Linotype" w:hAnsi="Palatino Linotype" w:cs="Arial"/>
          <w:b/>
          <w:sz w:val="22"/>
          <w:szCs w:val="22"/>
        </w:rPr>
        <w:t>17</w:t>
      </w:r>
      <w:r w:rsidRPr="00B92991">
        <w:rPr>
          <w:rFonts w:ascii="Palatino Linotype" w:hAnsi="Palatino Linotype" w:cs="Arial"/>
          <w:bCs/>
          <w:sz w:val="22"/>
          <w:szCs w:val="22"/>
        </w:rPr>
        <w:t xml:space="preserve"> and the details are given in </w:t>
      </w:r>
      <w:r w:rsidRPr="004776F0">
        <w:rPr>
          <w:rFonts w:ascii="Palatino Linotype" w:hAnsi="Palatino Linotype" w:cs="Arial"/>
          <w:b/>
          <w:sz w:val="22"/>
          <w:szCs w:val="22"/>
        </w:rPr>
        <w:t>Tables 65</w:t>
      </w:r>
      <w:r w:rsidRPr="00B92991">
        <w:rPr>
          <w:rFonts w:ascii="Palatino Linotype" w:hAnsi="Palatino Linotype" w:cs="Arial"/>
          <w:bCs/>
          <w:sz w:val="22"/>
          <w:szCs w:val="22"/>
        </w:rPr>
        <w:t xml:space="preserve"> to </w:t>
      </w:r>
      <w:r w:rsidRPr="004776F0">
        <w:rPr>
          <w:rFonts w:ascii="Palatino Linotype" w:hAnsi="Palatino Linotype" w:cs="Arial"/>
          <w:b/>
          <w:sz w:val="22"/>
          <w:szCs w:val="22"/>
        </w:rPr>
        <w:t>69</w:t>
      </w:r>
      <w:r w:rsidRPr="00B92991">
        <w:rPr>
          <w:rFonts w:ascii="Palatino Linotype" w:hAnsi="Palatino Linotype" w:cs="Arial"/>
          <w:bCs/>
          <w:sz w:val="22"/>
          <w:szCs w:val="22"/>
        </w:rPr>
        <w:t>.</w:t>
      </w:r>
    </w:p>
    <w:p w:rsidR="003B1F08" w:rsidRDefault="003B1F08" w:rsidP="003F4581">
      <w:pPr>
        <w:jc w:val="both"/>
        <w:rPr>
          <w:rFonts w:ascii="Palatino Linotype" w:hAnsi="Palatino Linotype" w:cs="Arial"/>
          <w:bCs/>
        </w:rPr>
      </w:pPr>
    </w:p>
    <w:p w:rsidR="003B1F08" w:rsidRDefault="003B1F08" w:rsidP="003F4581">
      <w:pPr>
        <w:jc w:val="both"/>
        <w:rPr>
          <w:rFonts w:ascii="Palatino Linotype" w:hAnsi="Palatino Linotype" w:cs="Arial"/>
          <w:bCs/>
        </w:rPr>
      </w:pPr>
    </w:p>
    <w:p w:rsidR="003F4581" w:rsidRDefault="003F4581" w:rsidP="003F4581">
      <w:pPr>
        <w:pStyle w:val="ListParagraph"/>
        <w:spacing w:after="0" w:line="240" w:lineRule="auto"/>
        <w:jc w:val="center"/>
        <w:rPr>
          <w:rFonts w:ascii="Palatino Linotype" w:hAnsi="Palatino Linotype" w:cs="Arial"/>
          <w:b/>
          <w:bCs/>
          <w:sz w:val="22"/>
          <w:szCs w:val="22"/>
        </w:rPr>
      </w:pPr>
      <w:r w:rsidRPr="009B2971">
        <w:rPr>
          <w:rFonts w:ascii="Palatino Linotype" w:hAnsi="Palatino Linotype" w:cs="Arial"/>
          <w:b/>
          <w:bCs/>
          <w:sz w:val="22"/>
          <w:szCs w:val="22"/>
        </w:rPr>
        <w:t xml:space="preserve">Figure 15: Trends in Turnover of Agricultural Commodity Derivatives </w:t>
      </w:r>
    </w:p>
    <w:p w:rsidR="003F4581" w:rsidRDefault="003F4581" w:rsidP="003F4581">
      <w:pPr>
        <w:pStyle w:val="ListParagraph"/>
        <w:spacing w:after="0" w:line="240" w:lineRule="auto"/>
        <w:jc w:val="center"/>
        <w:rPr>
          <w:rFonts w:ascii="Palatino Linotype" w:hAnsi="Palatino Linotype" w:cs="Arial"/>
          <w:b/>
          <w:bCs/>
          <w:sz w:val="22"/>
          <w:szCs w:val="22"/>
        </w:rPr>
      </w:pPr>
      <w:r>
        <w:rPr>
          <w:noProof/>
          <w:lang w:val="en-IN" w:eastAsia="en-IN" w:bidi="hi-IN"/>
        </w:rPr>
        <w:drawing>
          <wp:anchor distT="6096" distB="5842" distL="120396" distR="121412" simplePos="0" relativeHeight="251659264" behindDoc="0" locked="0" layoutInCell="1" allowOverlap="1">
            <wp:simplePos x="0" y="0"/>
            <wp:positionH relativeFrom="column">
              <wp:posOffset>460121</wp:posOffset>
            </wp:positionH>
            <wp:positionV relativeFrom="paragraph">
              <wp:posOffset>190881</wp:posOffset>
            </wp:positionV>
            <wp:extent cx="5308600" cy="3023870"/>
            <wp:effectExtent l="0" t="0" r="6350" b="5080"/>
            <wp:wrapTopAndBottom/>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page">
              <wp14:pctHeight>0</wp14:pctHeight>
            </wp14:sizeRelV>
          </wp:anchor>
        </w:drawing>
      </w:r>
    </w:p>
    <w:p w:rsidR="003F4581" w:rsidRPr="00DA4621" w:rsidRDefault="003F4581" w:rsidP="003F4581">
      <w:pPr>
        <w:pStyle w:val="ListParagraph"/>
        <w:spacing w:after="0" w:line="240" w:lineRule="auto"/>
        <w:ind w:hanging="578"/>
        <w:jc w:val="center"/>
        <w:rPr>
          <w:rFonts w:ascii="Palatino Linotype" w:hAnsi="Palatino Linotype"/>
          <w:b/>
          <w:color w:val="0D0D0D"/>
          <w:sz w:val="18"/>
          <w:szCs w:val="18"/>
        </w:rPr>
      </w:pPr>
    </w:p>
    <w:p w:rsidR="003F4581" w:rsidRPr="00DA4621" w:rsidRDefault="003F4581" w:rsidP="003F4581">
      <w:pPr>
        <w:rPr>
          <w:rFonts w:ascii="Palatino Linotype" w:hAnsi="Palatino Linotype"/>
          <w:b/>
          <w:color w:val="0D0D0D"/>
          <w:sz w:val="18"/>
          <w:szCs w:val="18"/>
        </w:rPr>
      </w:pPr>
      <w:r w:rsidRPr="00DA4621">
        <w:rPr>
          <w:rFonts w:ascii="Palatino Linotype" w:hAnsi="Palatino Linotype"/>
          <w:b/>
          <w:color w:val="0D0D0D"/>
          <w:sz w:val="18"/>
          <w:szCs w:val="18"/>
        </w:rPr>
        <w:t>Source: MCX, NCDEX, NSE, BSE &amp; ICEX</w:t>
      </w: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2F2984" w:rsidRDefault="002F2984" w:rsidP="003F4581">
      <w:pPr>
        <w:pStyle w:val="ListParagraph"/>
        <w:spacing w:after="0" w:line="240" w:lineRule="auto"/>
        <w:ind w:left="426" w:hanging="862"/>
        <w:jc w:val="center"/>
        <w:rPr>
          <w:rFonts w:ascii="Palatino Linotype" w:hAnsi="Palatino Linotype"/>
          <w:b/>
          <w:sz w:val="22"/>
          <w:szCs w:val="22"/>
        </w:rPr>
      </w:pPr>
    </w:p>
    <w:p w:rsidR="003F4581" w:rsidRDefault="003F4581" w:rsidP="003F4581">
      <w:pPr>
        <w:pStyle w:val="ListParagraph"/>
        <w:spacing w:after="0" w:line="240" w:lineRule="auto"/>
        <w:ind w:left="426" w:hanging="862"/>
        <w:jc w:val="center"/>
        <w:rPr>
          <w:rFonts w:ascii="Palatino Linotype" w:hAnsi="Palatino Linotype"/>
          <w:b/>
          <w:sz w:val="22"/>
          <w:szCs w:val="22"/>
        </w:rPr>
      </w:pPr>
      <w:r>
        <w:rPr>
          <w:rFonts w:ascii="Palatino Linotype" w:hAnsi="Palatino Linotype"/>
          <w:b/>
          <w:sz w:val="22"/>
          <w:szCs w:val="22"/>
        </w:rPr>
        <w:t xml:space="preserve"> </w:t>
      </w:r>
    </w:p>
    <w:p w:rsidR="003F4581" w:rsidRDefault="003F4581" w:rsidP="003F4581">
      <w:pPr>
        <w:pStyle w:val="ListParagraph"/>
        <w:spacing w:after="0" w:line="240" w:lineRule="auto"/>
        <w:ind w:left="426" w:hanging="862"/>
        <w:jc w:val="center"/>
        <w:rPr>
          <w:rFonts w:ascii="Palatino Linotype" w:hAnsi="Palatino Linotype"/>
          <w:b/>
          <w:sz w:val="22"/>
          <w:szCs w:val="22"/>
        </w:rPr>
      </w:pPr>
      <w:r>
        <w:rPr>
          <w:rFonts w:ascii="Palatino Linotype" w:hAnsi="Palatino Linotype"/>
          <w:b/>
          <w:sz w:val="22"/>
          <w:szCs w:val="22"/>
        </w:rPr>
        <w:lastRenderedPageBreak/>
        <w:t xml:space="preserve">  </w:t>
      </w:r>
      <w:r w:rsidRPr="009B2971">
        <w:rPr>
          <w:rFonts w:ascii="Palatino Linotype" w:hAnsi="Palatino Linotype"/>
          <w:b/>
          <w:sz w:val="22"/>
          <w:szCs w:val="22"/>
        </w:rPr>
        <w:t xml:space="preserve">Figure 16: Trends in Turnover of Non-Agricultural </w:t>
      </w:r>
      <w:r>
        <w:rPr>
          <w:rFonts w:ascii="Palatino Linotype" w:hAnsi="Palatino Linotype"/>
          <w:b/>
          <w:sz w:val="22"/>
          <w:szCs w:val="22"/>
        </w:rPr>
        <w:t>Futures contracts</w:t>
      </w:r>
      <w:r w:rsidRPr="009B2971">
        <w:rPr>
          <w:rFonts w:ascii="Palatino Linotype" w:hAnsi="Palatino Linotype"/>
          <w:b/>
          <w:sz w:val="22"/>
          <w:szCs w:val="22"/>
        </w:rPr>
        <w:t xml:space="preserve"> </w:t>
      </w:r>
    </w:p>
    <w:p w:rsidR="003F4581" w:rsidRDefault="003F4581" w:rsidP="003F4581">
      <w:pPr>
        <w:pStyle w:val="ListParagraph"/>
        <w:spacing w:after="0" w:line="240" w:lineRule="auto"/>
        <w:ind w:left="426" w:hanging="862"/>
        <w:jc w:val="center"/>
        <w:rPr>
          <w:rFonts w:ascii="Palatino Linotype" w:hAnsi="Palatino Linotype"/>
          <w:b/>
          <w:sz w:val="22"/>
          <w:szCs w:val="22"/>
        </w:rPr>
      </w:pPr>
      <w:r w:rsidRPr="00DA4621">
        <w:rPr>
          <w:noProof/>
          <w:lang w:val="en-IN" w:eastAsia="en-IN" w:bidi="hi-IN"/>
        </w:rPr>
        <w:drawing>
          <wp:inline distT="0" distB="0" distL="0" distR="0">
            <wp:extent cx="5730240" cy="3199130"/>
            <wp:effectExtent l="0" t="0" r="3810" b="127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4581" w:rsidRDefault="003F4581" w:rsidP="003F4581">
      <w:pPr>
        <w:spacing w:line="259" w:lineRule="auto"/>
        <w:rPr>
          <w:rFonts w:ascii="Palatino Linotype" w:hAnsi="Palatino Linotype" w:cs="Arial"/>
          <w:bCs/>
        </w:rPr>
      </w:pPr>
      <w:r w:rsidRPr="00DA4621">
        <w:rPr>
          <w:rFonts w:ascii="Palatino Linotype" w:hAnsi="Palatino Linotype"/>
          <w:b/>
          <w:color w:val="0D0D0D"/>
          <w:sz w:val="18"/>
          <w:szCs w:val="18"/>
        </w:rPr>
        <w:t>Source: MCX, NCDEX, NSE, BSE &amp; ICEX.</w:t>
      </w:r>
      <w:r w:rsidRPr="00B92D2D">
        <w:rPr>
          <w:rFonts w:ascii="Palatino Linotype" w:hAnsi="Palatino Linotype" w:cs="Arial"/>
          <w:bCs/>
        </w:rPr>
        <w:t xml:space="preserve"> </w:t>
      </w:r>
    </w:p>
    <w:p w:rsidR="003F4581" w:rsidRDefault="003F4581" w:rsidP="003F4581">
      <w:pPr>
        <w:pStyle w:val="ListParagraph"/>
        <w:spacing w:after="0" w:line="240" w:lineRule="auto"/>
        <w:ind w:left="-284" w:hanging="152"/>
        <w:jc w:val="center"/>
        <w:rPr>
          <w:rFonts w:ascii="Palatino Linotype" w:hAnsi="Palatino Linotype"/>
          <w:b/>
          <w:sz w:val="22"/>
          <w:szCs w:val="22"/>
        </w:rPr>
      </w:pPr>
    </w:p>
    <w:p w:rsidR="003F4581" w:rsidRDefault="003F4581" w:rsidP="003F4581">
      <w:pPr>
        <w:pStyle w:val="ListParagraph"/>
        <w:spacing w:after="0" w:line="240" w:lineRule="auto"/>
        <w:ind w:left="-284" w:hanging="152"/>
        <w:jc w:val="center"/>
        <w:rPr>
          <w:rFonts w:ascii="Palatino Linotype" w:hAnsi="Palatino Linotype"/>
          <w:b/>
          <w:sz w:val="22"/>
          <w:szCs w:val="22"/>
        </w:rPr>
      </w:pPr>
      <w:r>
        <w:rPr>
          <w:rFonts w:ascii="Palatino Linotype" w:hAnsi="Palatino Linotype"/>
          <w:b/>
          <w:sz w:val="22"/>
          <w:szCs w:val="22"/>
        </w:rPr>
        <w:t>F</w:t>
      </w:r>
      <w:r w:rsidRPr="009B2971">
        <w:rPr>
          <w:rFonts w:ascii="Palatino Linotype" w:hAnsi="Palatino Linotype"/>
          <w:b/>
          <w:sz w:val="22"/>
          <w:szCs w:val="22"/>
        </w:rPr>
        <w:t>igure 1</w:t>
      </w:r>
      <w:r>
        <w:rPr>
          <w:rFonts w:ascii="Palatino Linotype" w:hAnsi="Palatino Linotype"/>
          <w:b/>
          <w:sz w:val="22"/>
          <w:szCs w:val="22"/>
        </w:rPr>
        <w:t>7</w:t>
      </w:r>
      <w:r w:rsidRPr="009B2971">
        <w:rPr>
          <w:rFonts w:ascii="Palatino Linotype" w:hAnsi="Palatino Linotype"/>
          <w:b/>
          <w:sz w:val="22"/>
          <w:szCs w:val="22"/>
        </w:rPr>
        <w:t xml:space="preserve">: Trends in Turnover of Non-Agricultural </w:t>
      </w:r>
      <w:r>
        <w:rPr>
          <w:rFonts w:ascii="Palatino Linotype" w:hAnsi="Palatino Linotype"/>
          <w:b/>
          <w:sz w:val="22"/>
          <w:szCs w:val="22"/>
        </w:rPr>
        <w:t xml:space="preserve">Options contracts </w:t>
      </w:r>
    </w:p>
    <w:p w:rsidR="003F4581" w:rsidRDefault="003F4581" w:rsidP="003F4581">
      <w:pPr>
        <w:pStyle w:val="ListParagraph"/>
        <w:spacing w:after="0" w:line="240" w:lineRule="auto"/>
        <w:ind w:left="-284" w:hanging="152"/>
        <w:jc w:val="center"/>
        <w:rPr>
          <w:rFonts w:ascii="Palatino Linotype" w:hAnsi="Palatino Linotype"/>
          <w:b/>
          <w:sz w:val="22"/>
          <w:szCs w:val="22"/>
        </w:rPr>
      </w:pPr>
      <w:r w:rsidRPr="00DA4621">
        <w:rPr>
          <w:noProof/>
          <w:lang w:val="en-IN" w:eastAsia="en-IN" w:bidi="hi-IN"/>
        </w:rPr>
        <w:drawing>
          <wp:inline distT="0" distB="0" distL="0" distR="0">
            <wp:extent cx="5730240" cy="3090545"/>
            <wp:effectExtent l="0" t="0" r="3810" b="14605"/>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4581" w:rsidRDefault="003F4581" w:rsidP="003F4581">
      <w:pPr>
        <w:spacing w:line="259" w:lineRule="auto"/>
        <w:rPr>
          <w:rFonts w:ascii="Palatino Linotype" w:hAnsi="Palatino Linotype" w:cs="Arial"/>
          <w:bCs/>
        </w:rPr>
      </w:pPr>
      <w:r w:rsidRPr="00DA4621">
        <w:rPr>
          <w:rFonts w:ascii="Palatino Linotype" w:hAnsi="Palatino Linotype"/>
          <w:b/>
          <w:color w:val="0D0D0D"/>
          <w:sz w:val="18"/>
          <w:szCs w:val="18"/>
        </w:rPr>
        <w:t>Source: MCX, BSE &amp; NSE.</w:t>
      </w:r>
      <w:r>
        <w:rPr>
          <w:rFonts w:ascii="Palatino Linotype" w:hAnsi="Palatino Linotype" w:cs="Arial"/>
          <w:bCs/>
        </w:rPr>
        <w:t xml:space="preserve">                                        </w:t>
      </w:r>
    </w:p>
    <w:p w:rsidR="0086339A" w:rsidRDefault="0086339A" w:rsidP="00E344DD">
      <w:pPr>
        <w:spacing w:line="259" w:lineRule="auto"/>
        <w:rPr>
          <w:rFonts w:ascii="Palatino Linotype" w:hAnsi="Palatino Linotype" w:cs="Arial"/>
          <w:bCs/>
        </w:rPr>
      </w:pPr>
    </w:p>
    <w:p w:rsidR="00E344DD" w:rsidRDefault="00E344DD" w:rsidP="00E344DD">
      <w:pPr>
        <w:spacing w:line="259" w:lineRule="auto"/>
        <w:rPr>
          <w:rFonts w:ascii="Palatino Linotype" w:hAnsi="Palatino Linotype" w:cs="Arial"/>
          <w:bCs/>
        </w:rPr>
      </w:pPr>
      <w:r>
        <w:rPr>
          <w:rFonts w:ascii="Palatino Linotype" w:hAnsi="Palatino Linotype" w:cs="Arial"/>
          <w:bCs/>
        </w:rPr>
        <w:t xml:space="preserve">                                   </w:t>
      </w:r>
    </w:p>
    <w:p w:rsidR="002F2984" w:rsidRDefault="002F2984" w:rsidP="00E344DD">
      <w:pPr>
        <w:spacing w:line="259" w:lineRule="auto"/>
        <w:rPr>
          <w:rFonts w:ascii="Palatino Linotype" w:hAnsi="Palatino Linotype" w:cs="Arial"/>
          <w:bCs/>
        </w:rPr>
      </w:pPr>
    </w:p>
    <w:p w:rsidR="002F2984" w:rsidRDefault="002F2984" w:rsidP="00E344DD">
      <w:pPr>
        <w:spacing w:line="259" w:lineRule="auto"/>
        <w:rPr>
          <w:rFonts w:ascii="Palatino Linotype" w:hAnsi="Palatino Linotype" w:cs="Arial"/>
          <w:bCs/>
        </w:rPr>
      </w:pPr>
    </w:p>
    <w:p w:rsidR="002F2984" w:rsidRDefault="002F2984" w:rsidP="00E344DD">
      <w:pPr>
        <w:spacing w:line="259" w:lineRule="auto"/>
        <w:rPr>
          <w:rFonts w:ascii="Palatino Linotype" w:hAnsi="Palatino Linotype" w:cs="Arial"/>
          <w:bCs/>
        </w:rPr>
      </w:pPr>
    </w:p>
    <w:p w:rsidR="002F2984" w:rsidRDefault="002F2984" w:rsidP="00E344DD">
      <w:pPr>
        <w:spacing w:line="259" w:lineRule="auto"/>
        <w:rPr>
          <w:rFonts w:ascii="Palatino Linotype" w:hAnsi="Palatino Linotype" w:cs="Arial"/>
          <w:bCs/>
        </w:rPr>
      </w:pPr>
    </w:p>
    <w:p w:rsidR="002F2984" w:rsidRDefault="002F2984" w:rsidP="00E344DD">
      <w:pPr>
        <w:spacing w:line="259" w:lineRule="auto"/>
        <w:rPr>
          <w:rFonts w:ascii="Palatino Linotype" w:hAnsi="Palatino Linotype" w:cs="Arial"/>
          <w:bCs/>
        </w:rPr>
      </w:pPr>
    </w:p>
    <w:p w:rsidR="002F2984" w:rsidRDefault="002F2984" w:rsidP="00E344DD">
      <w:pPr>
        <w:spacing w:line="259" w:lineRule="auto"/>
        <w:rPr>
          <w:rFonts w:ascii="Palatino Linotype" w:hAnsi="Palatino Linotype" w:cs="Arial"/>
          <w:bCs/>
        </w:rPr>
      </w:pPr>
    </w:p>
    <w:p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lastRenderedPageBreak/>
        <w:t>OVERVIEW OF THE GLOBAL FINANCIAL MARKETS</w:t>
      </w:r>
    </w:p>
    <w:p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rsidR="003F4581" w:rsidRPr="000B6055"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0B6055">
        <w:rPr>
          <w:rFonts w:ascii="Palatino Linotype" w:eastAsia="Times New Roman" w:hAnsi="Palatino Linotype"/>
          <w:sz w:val="22"/>
          <w:szCs w:val="22"/>
          <w:lang w:val="en-US"/>
        </w:rPr>
        <w:t>The J</w:t>
      </w:r>
      <w:r w:rsidRPr="00FD7C01">
        <w:rPr>
          <w:rFonts w:ascii="Palatino Linotype" w:eastAsia="Times New Roman" w:hAnsi="Palatino Linotype"/>
          <w:sz w:val="22"/>
          <w:szCs w:val="22"/>
          <w:lang w:val="en-US"/>
        </w:rPr>
        <w:t>PMorgan Global Composite Purchasing Managers’ Index (PMI), compiled by IHS Markit, decreased to 56.6 points in June 2021, up from 58.5 in May 2021.</w:t>
      </w:r>
      <w:r w:rsidRPr="000B6055">
        <w:rPr>
          <w:rFonts w:ascii="Palatino Linotype" w:eastAsia="Times New Roman" w:hAnsi="Palatino Linotype"/>
          <w:sz w:val="22"/>
          <w:szCs w:val="22"/>
          <w:lang w:val="en-US"/>
        </w:rPr>
        <w:t xml:space="preserve"> A reading of PMI above 50 means growth or expansion in economic activity. </w:t>
      </w:r>
    </w:p>
    <w:p w:rsidR="003F4581" w:rsidRPr="000B6055" w:rsidRDefault="003F4581" w:rsidP="003F4581">
      <w:pPr>
        <w:spacing w:before="100" w:beforeAutospacing="1" w:line="276" w:lineRule="auto"/>
        <w:ind w:left="360" w:right="107"/>
        <w:contextualSpacing/>
        <w:jc w:val="both"/>
        <w:rPr>
          <w:rFonts w:ascii="Palatino Linotype" w:eastAsia="Times New Roman" w:hAnsi="Palatino Linotype"/>
          <w:sz w:val="22"/>
          <w:szCs w:val="22"/>
        </w:rPr>
      </w:pPr>
    </w:p>
    <w:p w:rsidR="003F4581" w:rsidRPr="000B6055"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0B6055">
        <w:rPr>
          <w:rFonts w:ascii="Palatino Linotype" w:eastAsia="Times New Roman" w:hAnsi="Palatino Linotype"/>
          <w:sz w:val="22"/>
          <w:szCs w:val="22"/>
        </w:rPr>
        <w:t xml:space="preserve">In its </w:t>
      </w:r>
      <w:r>
        <w:rPr>
          <w:rFonts w:ascii="Palatino Linotype" w:eastAsia="Times New Roman" w:hAnsi="Palatino Linotype"/>
          <w:sz w:val="22"/>
          <w:szCs w:val="22"/>
        </w:rPr>
        <w:t>latest</w:t>
      </w:r>
      <w:r w:rsidRPr="000B6055">
        <w:rPr>
          <w:rFonts w:ascii="Palatino Linotype" w:eastAsia="Times New Roman" w:hAnsi="Palatino Linotype"/>
          <w:sz w:val="22"/>
          <w:szCs w:val="22"/>
        </w:rPr>
        <w:t xml:space="preserve"> release of </w:t>
      </w:r>
      <w:r w:rsidRPr="00F70AF9">
        <w:rPr>
          <w:rFonts w:ascii="Palatino Linotype" w:eastAsia="Times New Roman" w:hAnsi="Palatino Linotype"/>
          <w:sz w:val="22"/>
          <w:szCs w:val="22"/>
        </w:rPr>
        <w:t>World Economic Outlook</w:t>
      </w:r>
      <w:r w:rsidRPr="000B6055">
        <w:rPr>
          <w:rFonts w:ascii="Palatino Linotype" w:eastAsia="Times New Roman" w:hAnsi="Palatino Linotype"/>
          <w:sz w:val="22"/>
          <w:szCs w:val="22"/>
        </w:rPr>
        <w:t xml:space="preserve">, </w:t>
      </w:r>
      <w:r w:rsidRPr="00F70AF9">
        <w:rPr>
          <w:rFonts w:ascii="Palatino Linotype" w:eastAsia="Times New Roman" w:hAnsi="Palatino Linotype"/>
          <w:sz w:val="22"/>
          <w:szCs w:val="22"/>
        </w:rPr>
        <w:t>International Monetary Fund</w:t>
      </w:r>
      <w:r w:rsidRPr="000B6055">
        <w:rPr>
          <w:rFonts w:ascii="Palatino Linotype" w:eastAsia="Times New Roman" w:hAnsi="Palatino Linotype"/>
          <w:sz w:val="22"/>
          <w:szCs w:val="22"/>
        </w:rPr>
        <w:t xml:space="preserve"> (</w:t>
      </w:r>
      <w:r>
        <w:rPr>
          <w:rFonts w:ascii="Palatino Linotype" w:eastAsia="Times New Roman" w:hAnsi="Palatino Linotype"/>
          <w:sz w:val="22"/>
          <w:szCs w:val="22"/>
        </w:rPr>
        <w:t>IMF</w:t>
      </w:r>
      <w:r w:rsidRPr="000B6055">
        <w:rPr>
          <w:rFonts w:ascii="Palatino Linotype" w:eastAsia="Times New Roman" w:hAnsi="Palatino Linotype"/>
          <w:sz w:val="22"/>
          <w:szCs w:val="22"/>
        </w:rPr>
        <w:t xml:space="preserve">) estimated that during 2020, the world output shrank by </w:t>
      </w:r>
      <w:r>
        <w:rPr>
          <w:rFonts w:ascii="Palatino Linotype" w:eastAsia="Times New Roman" w:hAnsi="Palatino Linotype"/>
          <w:sz w:val="22"/>
          <w:szCs w:val="22"/>
        </w:rPr>
        <w:t>3.2</w:t>
      </w:r>
      <w:r w:rsidRPr="000B6055">
        <w:rPr>
          <w:rFonts w:ascii="Palatino Linotype" w:eastAsia="Times New Roman" w:hAnsi="Palatino Linotype"/>
          <w:sz w:val="22"/>
          <w:szCs w:val="22"/>
        </w:rPr>
        <w:t xml:space="preserve"> per cent. The world economy is projected to grow at </w:t>
      </w:r>
      <w:r>
        <w:rPr>
          <w:rFonts w:ascii="Palatino Linotype" w:eastAsia="Times New Roman" w:hAnsi="Palatino Linotype"/>
          <w:sz w:val="22"/>
          <w:szCs w:val="22"/>
        </w:rPr>
        <w:t>6.0</w:t>
      </w:r>
      <w:r w:rsidRPr="000B6055">
        <w:rPr>
          <w:rFonts w:ascii="Palatino Linotype" w:eastAsia="Times New Roman" w:hAnsi="Palatino Linotype"/>
          <w:sz w:val="22"/>
          <w:szCs w:val="22"/>
        </w:rPr>
        <w:t xml:space="preserve"> per cent in 2021. The advanced economies are expected to grow at </w:t>
      </w:r>
      <w:r>
        <w:rPr>
          <w:rFonts w:ascii="Palatino Linotype" w:eastAsia="Times New Roman" w:hAnsi="Palatino Linotype"/>
          <w:sz w:val="22"/>
          <w:szCs w:val="22"/>
        </w:rPr>
        <w:t xml:space="preserve">5.6 </w:t>
      </w:r>
      <w:r w:rsidRPr="000B6055">
        <w:rPr>
          <w:rFonts w:ascii="Palatino Linotype" w:eastAsia="Times New Roman" w:hAnsi="Palatino Linotype"/>
          <w:sz w:val="22"/>
          <w:szCs w:val="22"/>
        </w:rPr>
        <w:t xml:space="preserve">per cent whereas emerging market growth rate is estimated as </w:t>
      </w:r>
      <w:r>
        <w:rPr>
          <w:rFonts w:ascii="Palatino Linotype" w:eastAsia="Times New Roman" w:hAnsi="Palatino Linotype"/>
          <w:sz w:val="22"/>
          <w:szCs w:val="22"/>
        </w:rPr>
        <w:t>6.3</w:t>
      </w:r>
      <w:r w:rsidRPr="000B6055">
        <w:rPr>
          <w:rFonts w:ascii="Palatino Linotype" w:eastAsia="Times New Roman" w:hAnsi="Palatino Linotype"/>
          <w:sz w:val="22"/>
          <w:szCs w:val="22"/>
        </w:rPr>
        <w:t xml:space="preserve"> per cent</w:t>
      </w:r>
      <w:r>
        <w:rPr>
          <w:rFonts w:ascii="Palatino Linotype" w:eastAsia="Times New Roman" w:hAnsi="Palatino Linotype"/>
          <w:sz w:val="22"/>
          <w:szCs w:val="22"/>
        </w:rPr>
        <w:t xml:space="preserve"> during 2021</w:t>
      </w:r>
      <w:r w:rsidRPr="000B6055">
        <w:rPr>
          <w:rFonts w:ascii="Palatino Linotype" w:eastAsia="Times New Roman" w:hAnsi="Palatino Linotype"/>
          <w:sz w:val="22"/>
          <w:szCs w:val="22"/>
        </w:rPr>
        <w:t>.</w:t>
      </w:r>
      <w:r w:rsidRPr="000B6055">
        <w:rPr>
          <w:rFonts w:ascii="Palatino Linotype" w:eastAsia="Times New Roman" w:hAnsi="Palatino Linotype"/>
          <w:sz w:val="22"/>
          <w:szCs w:val="22"/>
          <w:lang w:val="en-US"/>
        </w:rPr>
        <w:t xml:space="preserve"> </w:t>
      </w:r>
    </w:p>
    <w:p w:rsidR="003F4581" w:rsidRPr="00C50C60"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C50C60"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50C60">
        <w:rPr>
          <w:rFonts w:ascii="Palatino Linotype" w:eastAsia="Times New Roman" w:hAnsi="Palatino Linotype"/>
          <w:sz w:val="22"/>
          <w:szCs w:val="22"/>
          <w:lang w:val="en-US"/>
        </w:rPr>
        <w:t xml:space="preserve">The </w:t>
      </w:r>
      <w:r>
        <w:rPr>
          <w:rFonts w:ascii="Palatino Linotype" w:eastAsia="Times New Roman" w:hAnsi="Palatino Linotype"/>
          <w:sz w:val="22"/>
          <w:szCs w:val="22"/>
          <w:lang w:val="en-US"/>
        </w:rPr>
        <w:t>emerging</w:t>
      </w:r>
      <w:r w:rsidRPr="00C50C60">
        <w:rPr>
          <w:rFonts w:ascii="Palatino Linotype" w:eastAsia="Times New Roman" w:hAnsi="Palatino Linotype"/>
          <w:sz w:val="22"/>
          <w:szCs w:val="22"/>
          <w:lang w:val="en-US"/>
        </w:rPr>
        <w:t xml:space="preserve"> markets outperformed </w:t>
      </w:r>
      <w:r>
        <w:rPr>
          <w:rFonts w:ascii="Palatino Linotype" w:eastAsia="Times New Roman" w:hAnsi="Palatino Linotype"/>
          <w:sz w:val="22"/>
          <w:szCs w:val="22"/>
          <w:lang w:val="en-US"/>
        </w:rPr>
        <w:t>developed</w:t>
      </w:r>
      <w:r w:rsidRPr="00C50C60">
        <w:rPr>
          <w:rFonts w:ascii="Palatino Linotype" w:eastAsia="Times New Roman" w:hAnsi="Palatino Linotype"/>
          <w:sz w:val="22"/>
          <w:szCs w:val="22"/>
          <w:lang w:val="en-US"/>
        </w:rPr>
        <w:t xml:space="preserve"> equity markets in </w:t>
      </w:r>
      <w:r>
        <w:rPr>
          <w:rFonts w:ascii="Palatino Linotype" w:eastAsia="Times New Roman" w:hAnsi="Palatino Linotype"/>
          <w:sz w:val="22"/>
          <w:szCs w:val="22"/>
          <w:lang w:val="en-US"/>
        </w:rPr>
        <w:t>May</w:t>
      </w:r>
      <w:r w:rsidRPr="00C50C60">
        <w:rPr>
          <w:rFonts w:ascii="Palatino Linotype" w:eastAsia="Times New Roman" w:hAnsi="Palatino Linotype"/>
          <w:sz w:val="22"/>
          <w:szCs w:val="22"/>
          <w:lang w:val="en-US"/>
        </w:rPr>
        <w:t xml:space="preserve"> 2021. MSCI Emerging Market (EM) index increased by 2.</w:t>
      </w:r>
      <w:r>
        <w:rPr>
          <w:rFonts w:ascii="Palatino Linotype" w:eastAsia="Times New Roman" w:hAnsi="Palatino Linotype"/>
          <w:sz w:val="22"/>
          <w:szCs w:val="22"/>
          <w:lang w:val="en-US"/>
        </w:rPr>
        <w:t>1</w:t>
      </w:r>
      <w:r w:rsidRPr="00C50C60">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May</w:t>
      </w:r>
      <w:r w:rsidRPr="00C50C60">
        <w:rPr>
          <w:rFonts w:ascii="Palatino Linotype" w:eastAsia="Times New Roman" w:hAnsi="Palatino Linotype"/>
          <w:sz w:val="22"/>
          <w:szCs w:val="22"/>
          <w:lang w:val="en-US"/>
        </w:rPr>
        <w:t xml:space="preserve"> 2021 over the previous month, while MSCI Developed Market Index increased by </w:t>
      </w:r>
      <w:r>
        <w:rPr>
          <w:rFonts w:ascii="Palatino Linotype" w:eastAsia="Times New Roman" w:hAnsi="Palatino Linotype"/>
          <w:sz w:val="22"/>
          <w:szCs w:val="22"/>
          <w:lang w:val="en-US"/>
        </w:rPr>
        <w:t>1.3</w:t>
      </w:r>
      <w:r w:rsidRPr="00C50C60">
        <w:rPr>
          <w:rFonts w:ascii="Palatino Linotype" w:eastAsia="Times New Roman" w:hAnsi="Palatino Linotype"/>
          <w:sz w:val="22"/>
          <w:szCs w:val="22"/>
          <w:lang w:val="en-US"/>
        </w:rPr>
        <w:t xml:space="preserve"> per cent during same period. </w:t>
      </w:r>
    </w:p>
    <w:p w:rsidR="003F4581" w:rsidRPr="002047BB"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2047BB"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2047BB">
        <w:rPr>
          <w:rFonts w:ascii="Palatino Linotype" w:eastAsia="Times New Roman" w:hAnsi="Palatino Linotype"/>
          <w:sz w:val="22"/>
          <w:szCs w:val="22"/>
          <w:lang w:val="en-US"/>
        </w:rPr>
        <w:t xml:space="preserve">The volatility in the equity markets decreased during </w:t>
      </w:r>
      <w:r>
        <w:rPr>
          <w:rFonts w:ascii="Palatino Linotype" w:eastAsia="Times New Roman" w:hAnsi="Palatino Linotype"/>
          <w:sz w:val="22"/>
          <w:szCs w:val="22"/>
          <w:lang w:val="en-US"/>
        </w:rPr>
        <w:t>May</w:t>
      </w:r>
      <w:r w:rsidRPr="002047BB">
        <w:rPr>
          <w:rFonts w:ascii="Palatino Linotype" w:eastAsia="Times New Roman" w:hAnsi="Palatino Linotype"/>
          <w:sz w:val="22"/>
          <w:szCs w:val="22"/>
          <w:lang w:val="en-US"/>
        </w:rPr>
        <w:t xml:space="preserve"> 2021. The CBOE VIX index decreased to</w:t>
      </w:r>
      <w:r w:rsidRPr="002047BB">
        <w:t xml:space="preserve"> </w:t>
      </w:r>
      <w:r>
        <w:rPr>
          <w:rFonts w:ascii="Palatino Linotype" w:eastAsia="Times New Roman" w:hAnsi="Palatino Linotype"/>
          <w:sz w:val="22"/>
          <w:szCs w:val="22"/>
          <w:lang w:val="en-US"/>
        </w:rPr>
        <w:t>16.8</w:t>
      </w:r>
      <w:r w:rsidRPr="002047BB">
        <w:rPr>
          <w:rFonts w:ascii="Palatino Linotype" w:eastAsia="Times New Roman" w:hAnsi="Palatino Linotype"/>
          <w:sz w:val="22"/>
          <w:szCs w:val="22"/>
          <w:lang w:val="en-US"/>
        </w:rPr>
        <w:t xml:space="preserve"> at the end of </w:t>
      </w:r>
      <w:r>
        <w:rPr>
          <w:rFonts w:ascii="Palatino Linotype" w:eastAsia="Times New Roman" w:hAnsi="Palatino Linotype"/>
          <w:sz w:val="22"/>
          <w:szCs w:val="22"/>
          <w:lang w:val="en-US"/>
        </w:rPr>
        <w:t>May</w:t>
      </w:r>
      <w:r w:rsidRPr="002047BB">
        <w:rPr>
          <w:rFonts w:ascii="Palatino Linotype" w:eastAsia="Times New Roman" w:hAnsi="Palatino Linotype"/>
          <w:sz w:val="22"/>
          <w:szCs w:val="22"/>
          <w:lang w:val="en-US"/>
        </w:rPr>
        <w:t xml:space="preserve"> 2021 from </w:t>
      </w:r>
      <w:r>
        <w:rPr>
          <w:rFonts w:ascii="Palatino Linotype" w:eastAsia="Times New Roman" w:hAnsi="Palatino Linotype"/>
          <w:sz w:val="22"/>
          <w:szCs w:val="22"/>
          <w:lang w:val="en-US"/>
        </w:rPr>
        <w:t>18.6</w:t>
      </w:r>
      <w:r w:rsidRPr="002047BB">
        <w:rPr>
          <w:rFonts w:ascii="Palatino Linotype" w:eastAsia="Times New Roman" w:hAnsi="Palatino Linotype"/>
          <w:sz w:val="22"/>
          <w:szCs w:val="22"/>
          <w:lang w:val="en-US"/>
        </w:rPr>
        <w:t xml:space="preserve"> as at the end of last month.</w:t>
      </w:r>
    </w:p>
    <w:p w:rsidR="003F4581" w:rsidRPr="006C069D"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6C069D"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6C069D">
        <w:rPr>
          <w:rFonts w:ascii="Palatino Linotype" w:eastAsia="Times New Roman" w:hAnsi="Palatino Linotype"/>
          <w:sz w:val="22"/>
          <w:szCs w:val="22"/>
          <w:lang w:val="en-US"/>
        </w:rPr>
        <w:t xml:space="preserve">The US 10-year government bond yield decreased by </w:t>
      </w:r>
      <w:r>
        <w:rPr>
          <w:rFonts w:ascii="Palatino Linotype" w:eastAsia="Times New Roman" w:hAnsi="Palatino Linotype"/>
          <w:sz w:val="22"/>
          <w:szCs w:val="22"/>
          <w:lang w:val="en-US"/>
        </w:rPr>
        <w:t>5</w:t>
      </w:r>
      <w:r w:rsidRPr="006C069D">
        <w:rPr>
          <w:rFonts w:ascii="Palatino Linotype" w:eastAsia="Times New Roman" w:hAnsi="Palatino Linotype"/>
          <w:sz w:val="22"/>
          <w:szCs w:val="22"/>
          <w:lang w:val="en-US"/>
        </w:rPr>
        <w:t xml:space="preserve"> bps to 1.</w:t>
      </w:r>
      <w:r>
        <w:rPr>
          <w:rFonts w:ascii="Palatino Linotype" w:eastAsia="Times New Roman" w:hAnsi="Palatino Linotype"/>
          <w:sz w:val="22"/>
          <w:szCs w:val="22"/>
          <w:lang w:val="en-US"/>
        </w:rPr>
        <w:t>6</w:t>
      </w:r>
      <w:r w:rsidRPr="006C069D">
        <w:rPr>
          <w:rFonts w:ascii="Palatino Linotype" w:eastAsia="Times New Roman" w:hAnsi="Palatino Linotype"/>
          <w:sz w:val="22"/>
          <w:szCs w:val="22"/>
          <w:lang w:val="en-US"/>
        </w:rPr>
        <w:t xml:space="preserve"> per cent during </w:t>
      </w:r>
      <w:r>
        <w:rPr>
          <w:rFonts w:ascii="Palatino Linotype" w:eastAsia="Times New Roman" w:hAnsi="Palatino Linotype"/>
          <w:sz w:val="22"/>
          <w:szCs w:val="22"/>
          <w:lang w:val="en-US"/>
        </w:rPr>
        <w:t>May</w:t>
      </w:r>
      <w:r w:rsidRPr="006C069D">
        <w:rPr>
          <w:rFonts w:ascii="Palatino Linotype" w:eastAsia="Times New Roman" w:hAnsi="Palatino Linotype"/>
          <w:sz w:val="22"/>
          <w:szCs w:val="22"/>
          <w:lang w:val="en-US"/>
        </w:rPr>
        <w:t xml:space="preserve"> 2021. The 10-year government bond yield of India decreased by </w:t>
      </w:r>
      <w:r>
        <w:rPr>
          <w:rFonts w:ascii="Palatino Linotype" w:eastAsia="Times New Roman" w:hAnsi="Palatino Linotype"/>
          <w:sz w:val="22"/>
          <w:szCs w:val="22"/>
          <w:lang w:val="en-US"/>
        </w:rPr>
        <w:t>1</w:t>
      </w:r>
      <w:r w:rsidRPr="006C069D">
        <w:rPr>
          <w:rFonts w:ascii="Palatino Linotype" w:eastAsia="Times New Roman" w:hAnsi="Palatino Linotype"/>
          <w:sz w:val="22"/>
          <w:szCs w:val="22"/>
          <w:lang w:val="en-US"/>
        </w:rPr>
        <w:t xml:space="preserve"> bps to 6.0 per cent at the end of </w:t>
      </w:r>
      <w:r>
        <w:rPr>
          <w:rFonts w:ascii="Palatino Linotype" w:eastAsia="Times New Roman" w:hAnsi="Palatino Linotype"/>
          <w:sz w:val="22"/>
          <w:szCs w:val="22"/>
          <w:lang w:val="en-US"/>
        </w:rPr>
        <w:t>May</w:t>
      </w:r>
      <w:r w:rsidRPr="006C069D">
        <w:rPr>
          <w:rFonts w:ascii="Palatino Linotype" w:eastAsia="Times New Roman" w:hAnsi="Palatino Linotype"/>
          <w:sz w:val="22"/>
          <w:szCs w:val="22"/>
          <w:lang w:val="en-US"/>
        </w:rPr>
        <w:t xml:space="preserve"> 2021, compared to end of the previous month.</w:t>
      </w:r>
    </w:p>
    <w:p w:rsidR="003F4581" w:rsidRPr="008348A8"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8348A8"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8348A8">
        <w:rPr>
          <w:rFonts w:ascii="Palatino Linotype" w:eastAsia="Times New Roman" w:hAnsi="Palatino Linotype"/>
          <w:sz w:val="22"/>
          <w:szCs w:val="22"/>
          <w:lang w:val="en-US"/>
        </w:rPr>
        <w:t xml:space="preserve">The WTI crude oil prices increased by USD </w:t>
      </w:r>
      <w:r>
        <w:rPr>
          <w:rFonts w:ascii="Palatino Linotype" w:eastAsia="Times New Roman" w:hAnsi="Palatino Linotype"/>
          <w:sz w:val="22"/>
          <w:szCs w:val="22"/>
          <w:lang w:val="en-US"/>
        </w:rPr>
        <w:t>3.3</w:t>
      </w:r>
      <w:r w:rsidRPr="008348A8">
        <w:rPr>
          <w:rFonts w:ascii="Palatino Linotype" w:eastAsia="Times New Roman" w:hAnsi="Palatino Linotype"/>
          <w:sz w:val="22"/>
          <w:szCs w:val="22"/>
          <w:lang w:val="en-US"/>
        </w:rPr>
        <w:t xml:space="preserve"> per barrel (or by </w:t>
      </w:r>
      <w:r>
        <w:rPr>
          <w:rFonts w:ascii="Palatino Linotype" w:eastAsia="Times New Roman" w:hAnsi="Palatino Linotype"/>
          <w:sz w:val="22"/>
          <w:szCs w:val="22"/>
          <w:lang w:val="en-US"/>
        </w:rPr>
        <w:t>5.2</w:t>
      </w:r>
      <w:r w:rsidRPr="008348A8">
        <w:rPr>
          <w:rFonts w:ascii="Palatino Linotype" w:eastAsia="Times New Roman" w:hAnsi="Palatino Linotype"/>
          <w:sz w:val="22"/>
          <w:szCs w:val="22"/>
          <w:lang w:val="en-US"/>
        </w:rPr>
        <w:t xml:space="preserve"> per cent) to USD </w:t>
      </w:r>
      <w:r w:rsidRPr="00086405">
        <w:rPr>
          <w:rFonts w:ascii="Palatino Linotype" w:eastAsia="Times New Roman" w:hAnsi="Palatino Linotype"/>
          <w:sz w:val="22"/>
          <w:szCs w:val="22"/>
          <w:lang w:val="en-US"/>
        </w:rPr>
        <w:t>66.9</w:t>
      </w:r>
      <w:r w:rsidRPr="008348A8">
        <w:rPr>
          <w:rFonts w:ascii="Palatino Linotype" w:eastAsia="Times New Roman" w:hAnsi="Palatino Linotype"/>
          <w:sz w:val="22"/>
          <w:szCs w:val="22"/>
          <w:lang w:val="en-US"/>
        </w:rPr>
        <w:t xml:space="preserve"> per barrel in </w:t>
      </w:r>
      <w:r>
        <w:rPr>
          <w:rFonts w:ascii="Palatino Linotype" w:eastAsia="Times New Roman" w:hAnsi="Palatino Linotype"/>
          <w:sz w:val="22"/>
          <w:szCs w:val="22"/>
          <w:lang w:val="en-US"/>
        </w:rPr>
        <w:t>May</w:t>
      </w:r>
      <w:r w:rsidRPr="008348A8">
        <w:rPr>
          <w:rFonts w:ascii="Palatino Linotype" w:eastAsia="Times New Roman" w:hAnsi="Palatino Linotype"/>
          <w:sz w:val="22"/>
          <w:szCs w:val="22"/>
          <w:lang w:val="en-US"/>
        </w:rPr>
        <w:t xml:space="preserve"> 2021. Gold prices increased by </w:t>
      </w:r>
      <w:r w:rsidRPr="00086405">
        <w:rPr>
          <w:rFonts w:ascii="Palatino Linotype" w:eastAsia="Times New Roman" w:hAnsi="Palatino Linotype"/>
          <w:sz w:val="22"/>
          <w:szCs w:val="22"/>
          <w:lang w:val="en-US"/>
        </w:rPr>
        <w:t>7.8</w:t>
      </w:r>
      <w:r w:rsidRPr="008348A8">
        <w:rPr>
          <w:rFonts w:ascii="Palatino Linotype" w:eastAsia="Times New Roman" w:hAnsi="Palatino Linotype"/>
          <w:sz w:val="22"/>
          <w:szCs w:val="22"/>
          <w:lang w:val="en-US"/>
        </w:rPr>
        <w:t xml:space="preserve"> per cent to USD </w:t>
      </w:r>
      <w:r w:rsidRPr="00086405">
        <w:rPr>
          <w:rFonts w:ascii="Palatino Linotype" w:eastAsia="Times New Roman" w:hAnsi="Palatino Linotype"/>
          <w:sz w:val="22"/>
          <w:szCs w:val="22"/>
          <w:lang w:val="en-US"/>
        </w:rPr>
        <w:t>1,906.4 a</w:t>
      </w:r>
      <w:r w:rsidRPr="008348A8">
        <w:rPr>
          <w:rFonts w:ascii="Palatino Linotype" w:eastAsia="Times New Roman" w:hAnsi="Palatino Linotype"/>
          <w:sz w:val="22"/>
          <w:szCs w:val="22"/>
          <w:lang w:val="en-US"/>
        </w:rPr>
        <w:t xml:space="preserve">t the end of </w:t>
      </w:r>
      <w:r>
        <w:rPr>
          <w:rFonts w:ascii="Palatino Linotype" w:eastAsia="Times New Roman" w:hAnsi="Palatino Linotype"/>
          <w:sz w:val="22"/>
          <w:szCs w:val="22"/>
          <w:lang w:val="en-US"/>
        </w:rPr>
        <w:t>May</w:t>
      </w:r>
      <w:r w:rsidRPr="008348A8">
        <w:rPr>
          <w:rFonts w:ascii="Palatino Linotype" w:eastAsia="Times New Roman" w:hAnsi="Palatino Linotype"/>
          <w:sz w:val="22"/>
          <w:szCs w:val="22"/>
          <w:lang w:val="en-US"/>
        </w:rPr>
        <w:t xml:space="preserve"> 2021 from USD </w:t>
      </w:r>
      <w:r w:rsidRPr="00086405">
        <w:rPr>
          <w:rFonts w:ascii="Palatino Linotype" w:eastAsia="Times New Roman" w:hAnsi="Palatino Linotype"/>
          <w:sz w:val="22"/>
          <w:szCs w:val="22"/>
          <w:lang w:val="en-US"/>
        </w:rPr>
        <w:t>1,768.6 a</w:t>
      </w:r>
      <w:r w:rsidRPr="008348A8">
        <w:rPr>
          <w:rFonts w:ascii="Palatino Linotype" w:eastAsia="Times New Roman" w:hAnsi="Palatino Linotype"/>
          <w:sz w:val="22"/>
          <w:szCs w:val="22"/>
          <w:lang w:val="en-US"/>
        </w:rPr>
        <w:t xml:space="preserve">t the end of </w:t>
      </w:r>
      <w:r>
        <w:rPr>
          <w:rFonts w:ascii="Palatino Linotype" w:eastAsia="Times New Roman" w:hAnsi="Palatino Linotype"/>
          <w:sz w:val="22"/>
          <w:szCs w:val="22"/>
          <w:lang w:val="en-US"/>
        </w:rPr>
        <w:t>April</w:t>
      </w:r>
      <w:r w:rsidRPr="008348A8">
        <w:rPr>
          <w:rFonts w:ascii="Palatino Linotype" w:eastAsia="Times New Roman" w:hAnsi="Palatino Linotype"/>
          <w:sz w:val="22"/>
          <w:szCs w:val="22"/>
          <w:lang w:val="en-US"/>
        </w:rPr>
        <w:t xml:space="preserve"> 2021. </w:t>
      </w:r>
    </w:p>
    <w:p w:rsidR="003F4581" w:rsidRPr="00C568F4"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C568F4"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568F4">
        <w:rPr>
          <w:rFonts w:ascii="Palatino Linotype" w:eastAsia="Times New Roman" w:hAnsi="Palatino Linotype"/>
          <w:sz w:val="22"/>
          <w:szCs w:val="22"/>
          <w:lang w:val="en-US"/>
        </w:rPr>
        <w:t>As per the latest estimate, the US economy expanded by 6.</w:t>
      </w:r>
      <w:r>
        <w:rPr>
          <w:rFonts w:ascii="Palatino Linotype" w:eastAsia="Times New Roman" w:hAnsi="Palatino Linotype"/>
          <w:sz w:val="22"/>
          <w:szCs w:val="22"/>
          <w:lang w:val="en-US"/>
        </w:rPr>
        <w:t>3</w:t>
      </w:r>
      <w:r w:rsidRPr="00C568F4">
        <w:rPr>
          <w:rFonts w:ascii="Palatino Linotype" w:eastAsia="Times New Roman" w:hAnsi="Palatino Linotype"/>
          <w:sz w:val="22"/>
          <w:szCs w:val="22"/>
          <w:lang w:val="en-US"/>
        </w:rPr>
        <w:t xml:space="preserve"> per cent Q-o-Q in annualised terms in the Q1 of 2021, compared to 4.</w:t>
      </w:r>
      <w:r>
        <w:rPr>
          <w:rFonts w:ascii="Palatino Linotype" w:eastAsia="Times New Roman" w:hAnsi="Palatino Linotype"/>
          <w:sz w:val="22"/>
          <w:szCs w:val="22"/>
          <w:lang w:val="en-US"/>
        </w:rPr>
        <w:t>5</w:t>
      </w:r>
      <w:r w:rsidRPr="00C568F4">
        <w:rPr>
          <w:rFonts w:ascii="Palatino Linotype" w:eastAsia="Times New Roman" w:hAnsi="Palatino Linotype"/>
          <w:sz w:val="22"/>
          <w:szCs w:val="22"/>
          <w:lang w:val="en-US"/>
        </w:rPr>
        <w:t xml:space="preserve"> per cent increase during the previous quarter. The US unemployment rate </w:t>
      </w:r>
      <w:r>
        <w:rPr>
          <w:rFonts w:ascii="Palatino Linotype" w:eastAsia="Times New Roman" w:hAnsi="Palatino Linotype"/>
          <w:sz w:val="22"/>
          <w:szCs w:val="22"/>
          <w:lang w:val="en-US"/>
        </w:rPr>
        <w:t>decreased</w:t>
      </w:r>
      <w:r w:rsidRPr="00C568F4">
        <w:rPr>
          <w:rFonts w:ascii="Palatino Linotype" w:eastAsia="Times New Roman" w:hAnsi="Palatino Linotype"/>
          <w:sz w:val="22"/>
          <w:szCs w:val="22"/>
          <w:lang w:val="en-US"/>
        </w:rPr>
        <w:t xml:space="preserve"> to </w:t>
      </w:r>
      <w:r>
        <w:rPr>
          <w:rFonts w:ascii="Palatino Linotype" w:eastAsia="Times New Roman" w:hAnsi="Palatino Linotype"/>
          <w:sz w:val="22"/>
          <w:szCs w:val="22"/>
          <w:lang w:val="en-US"/>
        </w:rPr>
        <w:t>5.8</w:t>
      </w:r>
      <w:r w:rsidRPr="00C568F4">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May</w:t>
      </w:r>
      <w:r w:rsidRPr="00C568F4">
        <w:rPr>
          <w:rFonts w:ascii="Palatino Linotype" w:eastAsia="Times New Roman" w:hAnsi="Palatino Linotype"/>
          <w:sz w:val="22"/>
          <w:szCs w:val="22"/>
          <w:lang w:val="en-US"/>
        </w:rPr>
        <w:t xml:space="preserve"> 2021 from </w:t>
      </w:r>
      <w:r>
        <w:rPr>
          <w:rFonts w:ascii="Palatino Linotype" w:eastAsia="Times New Roman" w:hAnsi="Palatino Linotype"/>
          <w:sz w:val="22"/>
          <w:szCs w:val="22"/>
          <w:lang w:val="en-US"/>
        </w:rPr>
        <w:t>6.1</w:t>
      </w:r>
      <w:r w:rsidRPr="00C568F4">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per cent in the previous month.</w:t>
      </w:r>
    </w:p>
    <w:p w:rsidR="003F4581" w:rsidRPr="00B31705" w:rsidRDefault="003F4581" w:rsidP="003F4581">
      <w:pPr>
        <w:spacing w:after="200" w:line="276" w:lineRule="auto"/>
        <w:ind w:left="720" w:right="107"/>
        <w:contextualSpacing/>
        <w:rPr>
          <w:rFonts w:ascii="Palatino Linotype" w:eastAsia="Times New Roman" w:hAnsi="Palatino Linotype"/>
          <w:sz w:val="22"/>
          <w:szCs w:val="22"/>
          <w:lang w:val="en-US"/>
        </w:rPr>
      </w:pPr>
    </w:p>
    <w:p w:rsidR="003F4581" w:rsidRPr="00B31705"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B31705">
        <w:rPr>
          <w:rFonts w:ascii="Palatino Linotype" w:eastAsia="Times New Roman" w:hAnsi="Palatino Linotype"/>
          <w:sz w:val="22"/>
          <w:szCs w:val="22"/>
          <w:lang w:val="en-US"/>
        </w:rPr>
        <w:t>The UK economy shrank by 1.</w:t>
      </w:r>
      <w:r>
        <w:rPr>
          <w:rFonts w:ascii="Palatino Linotype" w:eastAsia="Times New Roman" w:hAnsi="Palatino Linotype"/>
          <w:sz w:val="22"/>
          <w:szCs w:val="22"/>
          <w:lang w:val="en-US"/>
        </w:rPr>
        <w:t>6</w:t>
      </w:r>
      <w:r w:rsidRPr="00B31705">
        <w:rPr>
          <w:rFonts w:ascii="Palatino Linotype" w:eastAsia="Times New Roman" w:hAnsi="Palatino Linotype"/>
          <w:sz w:val="22"/>
          <w:szCs w:val="22"/>
          <w:lang w:val="en-US"/>
        </w:rPr>
        <w:t xml:space="preserve"> per cent Q-o-Q in Q1 of 2021 against 1.3 per cent expansion in the previous quarter. </w:t>
      </w:r>
      <w:r>
        <w:rPr>
          <w:rFonts w:ascii="Palatino Linotype" w:eastAsia="Times New Roman" w:hAnsi="Palatino Linotype"/>
          <w:sz w:val="22"/>
          <w:szCs w:val="22"/>
          <w:lang w:val="en-US"/>
        </w:rPr>
        <w:t>The UK unemployment rate was observed to be 4.8 for May 2021.</w:t>
      </w:r>
    </w:p>
    <w:p w:rsidR="003F4581" w:rsidRPr="009847F5"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9847F5"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847F5">
        <w:rPr>
          <w:rFonts w:ascii="Palatino Linotype" w:eastAsia="Times New Roman" w:hAnsi="Palatino Linotype"/>
          <w:sz w:val="22"/>
          <w:szCs w:val="22"/>
          <w:lang w:val="en-US"/>
        </w:rPr>
        <w:t xml:space="preserve">The Eurozone economy shrank by 0.3 per cent Q-o-Q in Q1 of 2021, after shrinking by 0.6 per cent in previous quarter. Amongst the largest economies of Eurozone a contraction was observed in Germany (-1.8 per cent), France (-0.1 per cent), Netherlands (-0.5 per cent) and Spain (-0.5 per cent). </w:t>
      </w:r>
    </w:p>
    <w:p w:rsidR="003F4581" w:rsidRPr="00184B77"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EA023A"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trike/>
          <w:sz w:val="22"/>
          <w:szCs w:val="22"/>
          <w:lang w:val="en-US"/>
        </w:rPr>
      </w:pPr>
      <w:r w:rsidRPr="00184B77">
        <w:rPr>
          <w:rFonts w:ascii="Palatino Linotype" w:eastAsia="Times New Roman" w:hAnsi="Palatino Linotype"/>
          <w:sz w:val="22"/>
          <w:szCs w:val="22"/>
          <w:lang w:val="en-US"/>
        </w:rPr>
        <w:t>GDP growth of China was 0.</w:t>
      </w:r>
      <w:r>
        <w:rPr>
          <w:rFonts w:ascii="Palatino Linotype" w:eastAsia="Times New Roman" w:hAnsi="Palatino Linotype"/>
          <w:sz w:val="22"/>
          <w:szCs w:val="22"/>
          <w:lang w:val="en-US"/>
        </w:rPr>
        <w:t>4</w:t>
      </w:r>
      <w:r w:rsidRPr="00184B77">
        <w:rPr>
          <w:rFonts w:ascii="Palatino Linotype" w:eastAsia="Times New Roman" w:hAnsi="Palatino Linotype"/>
          <w:sz w:val="22"/>
          <w:szCs w:val="22"/>
          <w:lang w:val="en-US"/>
        </w:rPr>
        <w:t xml:space="preserve"> per cent in Q1 of 2021, however, it was less than the growth in the previous quarter. Growth rate in GDP was of 3.2 per cent in Q4 of 2020 in China. According to </w:t>
      </w:r>
      <w:r>
        <w:rPr>
          <w:rFonts w:ascii="Palatino Linotype" w:eastAsia="Times New Roman" w:hAnsi="Palatino Linotype"/>
          <w:sz w:val="22"/>
          <w:szCs w:val="22"/>
          <w:lang w:val="en-US"/>
        </w:rPr>
        <w:t>IMF</w:t>
      </w:r>
      <w:r w:rsidRPr="00184B77">
        <w:rPr>
          <w:rFonts w:ascii="Palatino Linotype" w:eastAsia="Times New Roman" w:hAnsi="Palatino Linotype"/>
          <w:sz w:val="22"/>
          <w:szCs w:val="22"/>
          <w:lang w:val="en-US"/>
        </w:rPr>
        <w:t xml:space="preserve"> projections, the Chinese economy is expected to grow at the rate of 8.</w:t>
      </w:r>
      <w:r>
        <w:rPr>
          <w:rFonts w:ascii="Palatino Linotype" w:eastAsia="Times New Roman" w:hAnsi="Palatino Linotype"/>
          <w:sz w:val="22"/>
          <w:szCs w:val="22"/>
          <w:lang w:val="en-US"/>
        </w:rPr>
        <w:t>1</w:t>
      </w:r>
      <w:r w:rsidRPr="00184B77">
        <w:rPr>
          <w:rFonts w:ascii="Palatino Linotype" w:eastAsia="Times New Roman" w:hAnsi="Palatino Linotype"/>
          <w:sz w:val="22"/>
          <w:szCs w:val="22"/>
          <w:lang w:val="en-US"/>
        </w:rPr>
        <w:t xml:space="preserve"> per cent in 2021 and </w:t>
      </w:r>
      <w:r>
        <w:rPr>
          <w:rFonts w:ascii="Palatino Linotype" w:eastAsia="Times New Roman" w:hAnsi="Palatino Linotype"/>
          <w:sz w:val="22"/>
          <w:szCs w:val="22"/>
          <w:lang w:val="en-US"/>
        </w:rPr>
        <w:t>at</w:t>
      </w:r>
      <w:r w:rsidRPr="00184B77">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6</w:t>
      </w:r>
      <w:r w:rsidRPr="00184B77">
        <w:rPr>
          <w:rFonts w:ascii="Palatino Linotype" w:eastAsia="Times New Roman" w:hAnsi="Palatino Linotype"/>
          <w:sz w:val="22"/>
          <w:szCs w:val="22"/>
          <w:lang w:val="en-US"/>
        </w:rPr>
        <w:t>.4 per cent in 2022.</w:t>
      </w:r>
      <w:r w:rsidRPr="00EA023A">
        <w:rPr>
          <w:rFonts w:ascii="Palatino Linotype" w:eastAsia="Times New Roman" w:hAnsi="Palatino Linotype"/>
          <w:strike/>
          <w:sz w:val="22"/>
          <w:szCs w:val="22"/>
          <w:lang w:val="en-US"/>
        </w:rPr>
        <w:t xml:space="preserve">  </w:t>
      </w:r>
    </w:p>
    <w:p w:rsidR="003F4581" w:rsidRPr="00184B77"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184B77"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184B77">
        <w:rPr>
          <w:rFonts w:ascii="Palatino Linotype" w:eastAsia="Times New Roman" w:hAnsi="Palatino Linotype"/>
          <w:sz w:val="22"/>
          <w:szCs w:val="22"/>
          <w:lang w:val="en-US"/>
        </w:rPr>
        <w:lastRenderedPageBreak/>
        <w:t>As per MOSPI, India’s GDP grew by 1.6 per cent Y-o-Y during Q4 of 2020-21 compared to a Y-o-Y growth rate of 1.6 per cent in Q3 of 2020-21. In Q4 of 2020-21, the business activity in mining and quarrying declined by 5.7 per cent and hotels, transport, communication service declined by -2.3 per cent. Increase in growth rates was observed in public administration services, manufacturing and construction which grew by 2.3, 6.9 per cent and 14.5 per cent respectively in Q4 of 2020-21. </w:t>
      </w:r>
    </w:p>
    <w:p w:rsidR="003F4581" w:rsidRPr="00184B77"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184B77"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184B77">
        <w:rPr>
          <w:rFonts w:ascii="Palatino Linotype" w:eastAsia="Times New Roman" w:hAnsi="Palatino Linotype"/>
          <w:sz w:val="22"/>
          <w:szCs w:val="22"/>
          <w:lang w:val="en-US"/>
        </w:rPr>
        <w:t xml:space="preserve">According to the second advance estimates of GDP released by MOSPI on 31 May 2021, GDP of India is estimated to fall by 7.3 per cent during the 2020-21 as compared to 4.0 per cent expansion in 2019-20. World Bank estimated India’s GDP to </w:t>
      </w:r>
      <w:r w:rsidR="00C333B4">
        <w:rPr>
          <w:rFonts w:ascii="Palatino Linotype" w:eastAsia="Times New Roman" w:hAnsi="Palatino Linotype"/>
          <w:sz w:val="22"/>
          <w:szCs w:val="22"/>
          <w:lang w:val="en-US"/>
        </w:rPr>
        <w:t>contract</w:t>
      </w:r>
      <w:r w:rsidRPr="00184B77">
        <w:rPr>
          <w:rFonts w:ascii="Palatino Linotype" w:eastAsia="Times New Roman" w:hAnsi="Palatino Linotype"/>
          <w:sz w:val="22"/>
          <w:szCs w:val="22"/>
          <w:lang w:val="en-US"/>
        </w:rPr>
        <w:t xml:space="preserve"> by -7.3 per cent in 2020. According to IMF projections, the Indian economy is expected to </w:t>
      </w:r>
      <w:r w:rsidR="00C333B4">
        <w:rPr>
          <w:rFonts w:ascii="Palatino Linotype" w:eastAsia="Times New Roman" w:hAnsi="Palatino Linotype"/>
          <w:sz w:val="22"/>
          <w:szCs w:val="22"/>
          <w:lang w:val="en-US"/>
        </w:rPr>
        <w:t>contract</w:t>
      </w:r>
      <w:r w:rsidRPr="00184B77">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7.3</w:t>
      </w:r>
      <w:r w:rsidRPr="00184B77">
        <w:rPr>
          <w:rFonts w:ascii="Palatino Linotype" w:eastAsia="Times New Roman" w:hAnsi="Palatino Linotype"/>
          <w:sz w:val="22"/>
          <w:szCs w:val="22"/>
          <w:lang w:val="en-US"/>
        </w:rPr>
        <w:t xml:space="preserve"> per cent in 2020 and </w:t>
      </w:r>
      <w:r>
        <w:rPr>
          <w:rFonts w:ascii="Palatino Linotype" w:eastAsia="Times New Roman" w:hAnsi="Palatino Linotype"/>
          <w:sz w:val="22"/>
          <w:szCs w:val="22"/>
          <w:lang w:val="en-US"/>
        </w:rPr>
        <w:t>9.5</w:t>
      </w:r>
      <w:r w:rsidRPr="00184B77">
        <w:rPr>
          <w:rFonts w:ascii="Palatino Linotype" w:eastAsia="Times New Roman" w:hAnsi="Palatino Linotype"/>
          <w:sz w:val="22"/>
          <w:szCs w:val="22"/>
          <w:lang w:val="en-US"/>
        </w:rPr>
        <w:t xml:space="preserve"> per cent in 2021. </w:t>
      </w:r>
    </w:p>
    <w:p w:rsidR="003F4581" w:rsidRPr="00632B15" w:rsidRDefault="003F4581" w:rsidP="003F4581">
      <w:pPr>
        <w:spacing w:before="100" w:beforeAutospacing="1" w:line="276" w:lineRule="auto"/>
        <w:ind w:left="360" w:right="107"/>
        <w:contextualSpacing/>
        <w:jc w:val="both"/>
        <w:rPr>
          <w:rFonts w:ascii="Palatino Linotype" w:eastAsia="Times New Roman" w:hAnsi="Palatino Linotype"/>
          <w:sz w:val="22"/>
          <w:szCs w:val="22"/>
          <w:lang w:val="en-US"/>
        </w:rPr>
      </w:pPr>
    </w:p>
    <w:p w:rsidR="003F4581" w:rsidRPr="00146DF4" w:rsidRDefault="003F4581" w:rsidP="003F4581">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632B15">
        <w:rPr>
          <w:rFonts w:ascii="Palatino Linotype" w:eastAsia="Times New Roman" w:hAnsi="Palatino Linotype"/>
          <w:sz w:val="22"/>
          <w:szCs w:val="22"/>
          <w:lang w:val="en-US"/>
        </w:rPr>
        <w:t xml:space="preserve">Retail inflation (CPI Inflation) in India observed to be </w:t>
      </w:r>
      <w:r>
        <w:rPr>
          <w:rFonts w:ascii="Palatino Linotype" w:eastAsia="Times New Roman" w:hAnsi="Palatino Linotype"/>
          <w:sz w:val="22"/>
          <w:szCs w:val="22"/>
          <w:lang w:val="en-US"/>
        </w:rPr>
        <w:t>6.3</w:t>
      </w:r>
      <w:r w:rsidRPr="00632B15">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May</w:t>
      </w:r>
      <w:r w:rsidRPr="00632B15">
        <w:rPr>
          <w:rFonts w:ascii="Palatino Linotype" w:eastAsia="Times New Roman" w:hAnsi="Palatino Linotype"/>
          <w:sz w:val="22"/>
          <w:szCs w:val="22"/>
          <w:lang w:val="en-US"/>
        </w:rPr>
        <w:t xml:space="preserve"> 2021 compared to </w:t>
      </w:r>
      <w:r>
        <w:rPr>
          <w:rFonts w:ascii="Palatino Linotype" w:eastAsia="Times New Roman" w:hAnsi="Palatino Linotype"/>
          <w:sz w:val="22"/>
          <w:szCs w:val="22"/>
          <w:lang w:val="en-US"/>
        </w:rPr>
        <w:t>6.5</w:t>
      </w:r>
      <w:r w:rsidRPr="00632B15">
        <w:rPr>
          <w:rFonts w:ascii="Palatino Linotype" w:eastAsia="Times New Roman" w:hAnsi="Palatino Linotype"/>
          <w:sz w:val="22"/>
          <w:szCs w:val="22"/>
          <w:lang w:val="en-US"/>
        </w:rPr>
        <w:t xml:space="preserve"> per cent in a month earlier. General IIP</w:t>
      </w:r>
      <w:r>
        <w:rPr>
          <w:rStyle w:val="FootnoteReference"/>
          <w:rFonts w:ascii="Palatino Linotype" w:eastAsia="Times New Roman" w:hAnsi="Palatino Linotype"/>
          <w:sz w:val="22"/>
          <w:szCs w:val="22"/>
          <w:lang w:val="en-US"/>
        </w:rPr>
        <w:footnoteReference w:id="2"/>
      </w:r>
      <w:r w:rsidRPr="00632B15">
        <w:rPr>
          <w:rFonts w:ascii="Palatino Linotype" w:eastAsia="Times New Roman" w:hAnsi="Palatino Linotype"/>
          <w:sz w:val="22"/>
          <w:szCs w:val="22"/>
          <w:lang w:val="en-US"/>
        </w:rPr>
        <w:t xml:space="preserve"> was observed to be </w:t>
      </w:r>
      <w:r w:rsidRPr="003D00C3">
        <w:rPr>
          <w:rFonts w:ascii="Palatino Linotype" w:eastAsia="Times New Roman" w:hAnsi="Palatino Linotype"/>
          <w:sz w:val="22"/>
          <w:szCs w:val="22"/>
          <w:lang w:val="en-US"/>
        </w:rPr>
        <w:t>116.6</w:t>
      </w:r>
      <w:r w:rsidRPr="00632B15">
        <w:rPr>
          <w:rFonts w:ascii="Palatino Linotype" w:eastAsia="Times New Roman" w:hAnsi="Palatino Linotype"/>
          <w:sz w:val="22"/>
          <w:szCs w:val="22"/>
          <w:lang w:val="en-US"/>
        </w:rPr>
        <w:t xml:space="preserve">, for mining it was observed at </w:t>
      </w:r>
      <w:r w:rsidRPr="003D00C3">
        <w:rPr>
          <w:rFonts w:ascii="Palatino Linotype" w:eastAsia="Times New Roman" w:hAnsi="Palatino Linotype"/>
          <w:sz w:val="22"/>
          <w:szCs w:val="22"/>
          <w:lang w:val="en-US"/>
        </w:rPr>
        <w:t>161.9</w:t>
      </w:r>
      <w:r w:rsidRPr="00632B15">
        <w:rPr>
          <w:rFonts w:ascii="Palatino Linotype" w:eastAsia="Times New Roman" w:hAnsi="Palatino Linotype"/>
          <w:sz w:val="22"/>
          <w:szCs w:val="22"/>
          <w:lang w:val="en-US"/>
        </w:rPr>
        <w:t xml:space="preserve">, for manufacturing </w:t>
      </w:r>
      <w:r w:rsidRPr="003D00C3">
        <w:rPr>
          <w:rFonts w:ascii="Palatino Linotype" w:eastAsia="Times New Roman" w:hAnsi="Palatino Linotype"/>
          <w:sz w:val="22"/>
          <w:szCs w:val="22"/>
          <w:lang w:val="en-US"/>
        </w:rPr>
        <w:t>113.5</w:t>
      </w:r>
      <w:r w:rsidRPr="00632B15">
        <w:rPr>
          <w:rFonts w:ascii="Palatino Linotype" w:eastAsia="Times New Roman" w:hAnsi="Palatino Linotype"/>
          <w:sz w:val="22"/>
          <w:szCs w:val="22"/>
          <w:lang w:val="en-US"/>
        </w:rPr>
        <w:t xml:space="preserve"> and for electricity </w:t>
      </w:r>
      <w:r w:rsidRPr="003D00C3">
        <w:rPr>
          <w:rFonts w:ascii="Palatino Linotype" w:eastAsia="Times New Roman" w:hAnsi="Palatino Linotype"/>
          <w:sz w:val="22"/>
          <w:szCs w:val="22"/>
          <w:lang w:val="en-US"/>
        </w:rPr>
        <w:t>108.0</w:t>
      </w:r>
      <w:r w:rsidRPr="00632B15">
        <w:rPr>
          <w:rFonts w:ascii="Palatino Linotype" w:eastAsia="Times New Roman" w:hAnsi="Palatino Linotype"/>
          <w:sz w:val="22"/>
          <w:szCs w:val="22"/>
          <w:lang w:val="en-US"/>
        </w:rPr>
        <w:t>.</w:t>
      </w:r>
      <w:r w:rsidRPr="00632B15">
        <w:rPr>
          <w:color w:val="212121"/>
          <w:sz w:val="27"/>
          <w:szCs w:val="27"/>
          <w:shd w:val="clear" w:color="auto" w:fill="FFFFFF"/>
        </w:rPr>
        <w:t> </w:t>
      </w:r>
    </w:p>
    <w:p w:rsidR="003F4581" w:rsidRDefault="003F4581" w:rsidP="003F4581">
      <w:pPr>
        <w:spacing w:line="23" w:lineRule="atLeast"/>
        <w:ind w:left="720"/>
        <w:contextualSpacing/>
        <w:rPr>
          <w:rFonts w:ascii="Garamond" w:eastAsia="Times New Roman" w:hAnsi="Garamond"/>
          <w:b/>
          <w:lang w:val="en-US" w:eastAsia="en-GB"/>
        </w:rPr>
      </w:pPr>
    </w:p>
    <w:p w:rsidR="003F4581" w:rsidRPr="009F2B94" w:rsidRDefault="003F4581" w:rsidP="003F4581">
      <w:pPr>
        <w:spacing w:line="23" w:lineRule="atLeast"/>
        <w:ind w:left="720"/>
        <w:contextualSpacing/>
        <w:rPr>
          <w:rFonts w:ascii="Garamond" w:eastAsia="Times New Roman" w:hAnsi="Garamond"/>
          <w:b/>
          <w:lang w:val="en-US" w:eastAsia="en-GB"/>
        </w:rPr>
      </w:pPr>
    </w:p>
    <w:p w:rsidR="003F4581" w:rsidRPr="00ED58C0" w:rsidRDefault="003F4581" w:rsidP="003F4581">
      <w:pPr>
        <w:spacing w:line="23" w:lineRule="atLeast"/>
        <w:ind w:left="180"/>
        <w:contextualSpacing/>
        <w:rPr>
          <w:rFonts w:ascii="Palatino Linotype" w:eastAsia="Times New Roman" w:hAnsi="Palatino Linotype"/>
          <w:b/>
          <w:sz w:val="22"/>
          <w:szCs w:val="22"/>
          <w:lang w:val="en-US" w:eastAsia="en-GB"/>
        </w:rPr>
      </w:pPr>
      <w:r w:rsidRPr="00ED58C0">
        <w:rPr>
          <w:rFonts w:ascii="Palatino Linotype" w:eastAsia="Times New Roman" w:hAnsi="Palatino Linotype"/>
          <w:b/>
          <w:sz w:val="22"/>
          <w:szCs w:val="22"/>
          <w:lang w:val="en-US" w:eastAsia="en-GB"/>
        </w:rPr>
        <w:t>Market Trends</w:t>
      </w:r>
      <w:r w:rsidRPr="00ED58C0">
        <w:rPr>
          <w:rFonts w:ascii="Palatino Linotype" w:eastAsia="Times New Roman" w:hAnsi="Palatino Linotype"/>
          <w:b/>
          <w:sz w:val="22"/>
          <w:szCs w:val="22"/>
          <w:vertAlign w:val="superscript"/>
          <w:lang w:val="en-US" w:eastAsia="en-GB"/>
        </w:rPr>
        <w:footnoteReference w:id="3"/>
      </w:r>
      <w:r w:rsidRPr="00ED58C0">
        <w:rPr>
          <w:rFonts w:ascii="Palatino Linotype" w:eastAsia="Times New Roman" w:hAnsi="Palatino Linotype"/>
          <w:b/>
          <w:sz w:val="22"/>
          <w:szCs w:val="22"/>
          <w:lang w:val="en-US" w:eastAsia="en-GB"/>
        </w:rPr>
        <w:t xml:space="preserve"> – </w:t>
      </w:r>
    </w:p>
    <w:p w:rsidR="003F4581" w:rsidRPr="00ED58C0" w:rsidRDefault="003F4581" w:rsidP="003F4581">
      <w:pPr>
        <w:spacing w:line="23" w:lineRule="atLeast"/>
        <w:ind w:left="180"/>
        <w:contextualSpacing/>
        <w:rPr>
          <w:rFonts w:ascii="Palatino Linotype" w:eastAsia="Times New Roman" w:hAnsi="Palatino Linotype"/>
          <w:b/>
          <w:sz w:val="22"/>
          <w:szCs w:val="22"/>
          <w:lang w:val="en-US" w:eastAsia="en-GB"/>
        </w:rPr>
      </w:pPr>
    </w:p>
    <w:p w:rsidR="003F4581" w:rsidRPr="008C1016" w:rsidRDefault="003F4581" w:rsidP="003F4581">
      <w:pPr>
        <w:spacing w:line="360" w:lineRule="auto"/>
        <w:ind w:left="720"/>
        <w:contextualSpacing/>
        <w:rPr>
          <w:rFonts w:ascii="Palatino Linotype" w:eastAsia="Times New Roman" w:hAnsi="Palatino Linotype"/>
          <w:b/>
          <w:sz w:val="22"/>
          <w:szCs w:val="22"/>
          <w:lang w:val="en-US" w:eastAsia="en-GB"/>
        </w:rPr>
      </w:pPr>
      <w:r w:rsidRPr="00ED58C0">
        <w:rPr>
          <w:rFonts w:ascii="Palatino Linotype" w:eastAsia="Times New Roman" w:hAnsi="Palatino Linotype"/>
          <w:b/>
          <w:sz w:val="22"/>
          <w:szCs w:val="22"/>
          <w:u w:val="single"/>
          <w:lang w:val="en-US" w:eastAsia="en-GB"/>
        </w:rPr>
        <w:t>Equity Markets (Figures 1-2, Table A1)</w:t>
      </w:r>
      <w:r w:rsidRPr="00ED58C0">
        <w:rPr>
          <w:rFonts w:ascii="Palatino Linotype" w:eastAsia="Times New Roman" w:hAnsi="Palatino Linotype"/>
          <w:b/>
          <w:sz w:val="22"/>
          <w:szCs w:val="22"/>
          <w:lang w:val="en-US" w:eastAsia="en-GB"/>
        </w:rPr>
        <w:t>-</w:t>
      </w:r>
    </w:p>
    <w:p w:rsidR="003F4581" w:rsidRPr="008C1016" w:rsidRDefault="003F4581" w:rsidP="003F4581">
      <w:pPr>
        <w:numPr>
          <w:ilvl w:val="0"/>
          <w:numId w:val="8"/>
        </w:numPr>
        <w:spacing w:line="276" w:lineRule="auto"/>
        <w:jc w:val="both"/>
        <w:rPr>
          <w:rFonts w:ascii="Palatino Linotype" w:eastAsia="Times New Roman" w:hAnsi="Palatino Linotype"/>
          <w:bCs/>
          <w:color w:val="FF0000"/>
          <w:sz w:val="22"/>
          <w:szCs w:val="22"/>
          <w:lang w:val="en-US" w:eastAsia="en-GB"/>
        </w:rPr>
      </w:pPr>
      <w:r w:rsidRPr="008C1016">
        <w:rPr>
          <w:rFonts w:ascii="Palatino Linotype" w:eastAsia="Times New Roman" w:hAnsi="Palatino Linotype"/>
          <w:bCs/>
          <w:sz w:val="22"/>
          <w:szCs w:val="22"/>
          <w:lang w:val="en-US" w:eastAsia="en-GB"/>
        </w:rPr>
        <w:t xml:space="preserve">In the month of </w:t>
      </w:r>
      <w:r>
        <w:rPr>
          <w:rFonts w:ascii="Palatino Linotype" w:eastAsia="Times New Roman" w:hAnsi="Palatino Linotype"/>
          <w:bCs/>
          <w:sz w:val="22"/>
          <w:szCs w:val="22"/>
          <w:lang w:val="en-US" w:eastAsia="en-GB"/>
        </w:rPr>
        <w:t>May</w:t>
      </w:r>
      <w:r w:rsidRPr="008C1016">
        <w:rPr>
          <w:rFonts w:ascii="Palatino Linotype" w:eastAsia="Times New Roman" w:hAnsi="Palatino Linotype"/>
          <w:bCs/>
          <w:sz w:val="22"/>
          <w:szCs w:val="22"/>
          <w:lang w:val="en-US" w:eastAsia="en-GB"/>
        </w:rPr>
        <w:t xml:space="preserve"> 2021, highest annualized monthly volatility amongst the BRICS countries was observed in Brazil IBOVESPA (</w:t>
      </w:r>
      <w:r w:rsidRPr="00DF720E">
        <w:rPr>
          <w:rFonts w:ascii="Palatino Linotype" w:eastAsia="Times New Roman" w:hAnsi="Palatino Linotype"/>
          <w:bCs/>
          <w:sz w:val="22"/>
          <w:szCs w:val="22"/>
          <w:lang w:val="en-US" w:eastAsia="en-GB"/>
        </w:rPr>
        <w:t>18.7</w:t>
      </w:r>
      <w:r w:rsidRPr="008C1016">
        <w:rPr>
          <w:rFonts w:ascii="Palatino Linotype" w:eastAsia="Times New Roman" w:hAnsi="Palatino Linotype"/>
          <w:bCs/>
          <w:sz w:val="22"/>
          <w:szCs w:val="22"/>
          <w:lang w:val="en-US" w:eastAsia="en-GB"/>
        </w:rPr>
        <w:t xml:space="preserve"> per cent) followed by India (Sensex</w:t>
      </w:r>
      <w:r>
        <w:rPr>
          <w:rFonts w:ascii="Palatino Linotype" w:eastAsia="Times New Roman" w:hAnsi="Palatino Linotype"/>
          <w:bCs/>
          <w:sz w:val="22"/>
          <w:szCs w:val="22"/>
          <w:lang w:val="en-US" w:eastAsia="en-GB"/>
        </w:rPr>
        <w:t>;</w:t>
      </w:r>
      <w:r w:rsidRPr="008C1016">
        <w:rPr>
          <w:rFonts w:ascii="Palatino Linotype" w:eastAsia="Times New Roman" w:hAnsi="Palatino Linotype"/>
          <w:bCs/>
          <w:sz w:val="22"/>
          <w:szCs w:val="22"/>
          <w:lang w:val="en-US" w:eastAsia="en-GB"/>
        </w:rPr>
        <w:t xml:space="preserve"> </w:t>
      </w:r>
      <w:r w:rsidRPr="00DF720E">
        <w:rPr>
          <w:rFonts w:ascii="Palatino Linotype" w:eastAsia="Times New Roman" w:hAnsi="Palatino Linotype"/>
          <w:bCs/>
          <w:sz w:val="22"/>
          <w:szCs w:val="22"/>
          <w:lang w:val="en-US" w:eastAsia="en-GB"/>
        </w:rPr>
        <w:t>16.1</w:t>
      </w:r>
      <w:r w:rsidRPr="008C1016">
        <w:rPr>
          <w:rFonts w:ascii="Palatino Linotype" w:eastAsia="Times New Roman" w:hAnsi="Palatino Linotype"/>
          <w:bCs/>
          <w:sz w:val="22"/>
          <w:szCs w:val="22"/>
          <w:lang w:val="en-US" w:eastAsia="en-GB"/>
        </w:rPr>
        <w:t xml:space="preserve"> per cent and Nifty</w:t>
      </w:r>
      <w:r>
        <w:rPr>
          <w:rFonts w:ascii="Palatino Linotype" w:eastAsia="Times New Roman" w:hAnsi="Palatino Linotype"/>
          <w:bCs/>
          <w:sz w:val="22"/>
          <w:szCs w:val="22"/>
          <w:lang w:val="en-US" w:eastAsia="en-GB"/>
        </w:rPr>
        <w:t xml:space="preserve">; </w:t>
      </w:r>
      <w:r w:rsidRPr="00DF720E">
        <w:rPr>
          <w:rFonts w:ascii="Palatino Linotype" w:eastAsia="Times New Roman" w:hAnsi="Palatino Linotype"/>
          <w:bCs/>
          <w:sz w:val="22"/>
          <w:szCs w:val="22"/>
          <w:lang w:val="en-US" w:eastAsia="en-GB"/>
        </w:rPr>
        <w:t>14.0</w:t>
      </w:r>
      <w:r w:rsidRPr="008C1016">
        <w:rPr>
          <w:rFonts w:ascii="Palatino Linotype" w:eastAsia="Times New Roman" w:hAnsi="Palatino Linotype"/>
          <w:bCs/>
          <w:sz w:val="22"/>
          <w:szCs w:val="22"/>
          <w:lang w:val="en-US" w:eastAsia="en-GB"/>
        </w:rPr>
        <w:t xml:space="preserve"> per cent) and</w:t>
      </w:r>
      <w:r w:rsidRPr="00DF720E">
        <w:rPr>
          <w:rFonts w:ascii="Palatino Linotype" w:eastAsia="Times New Roman" w:hAnsi="Palatino Linotype"/>
          <w:bCs/>
          <w:sz w:val="22"/>
          <w:szCs w:val="22"/>
          <w:lang w:val="en-US" w:eastAsia="en-GB"/>
        </w:rPr>
        <w:t xml:space="preserve"> </w:t>
      </w:r>
      <w:r w:rsidRPr="008C1016">
        <w:rPr>
          <w:rFonts w:ascii="Palatino Linotype" w:eastAsia="Times New Roman" w:hAnsi="Palatino Linotype"/>
          <w:bCs/>
          <w:sz w:val="22"/>
          <w:szCs w:val="22"/>
          <w:lang w:val="en-US" w:eastAsia="en-GB"/>
        </w:rPr>
        <w:t>South Africa FTSE (</w:t>
      </w:r>
      <w:r w:rsidRPr="00DF720E">
        <w:rPr>
          <w:rFonts w:ascii="Palatino Linotype" w:eastAsia="Times New Roman" w:hAnsi="Palatino Linotype"/>
          <w:sz w:val="22"/>
          <w:szCs w:val="22"/>
          <w:lang w:val="en-IN" w:eastAsia="en-IN"/>
        </w:rPr>
        <w:t>16.1</w:t>
      </w:r>
      <w:r w:rsidRPr="008C1016">
        <w:rPr>
          <w:rFonts w:ascii="Palatino Linotype" w:eastAsia="Times New Roman" w:hAnsi="Palatino Linotype"/>
          <w:sz w:val="22"/>
          <w:szCs w:val="22"/>
          <w:lang w:val="en-IN" w:eastAsia="en-IN"/>
        </w:rPr>
        <w:t xml:space="preserve"> per cent)</w:t>
      </w:r>
      <w:r w:rsidRPr="008C1016">
        <w:rPr>
          <w:rFonts w:ascii="Palatino Linotype" w:eastAsia="Times New Roman" w:hAnsi="Palatino Linotype"/>
          <w:bCs/>
          <w:sz w:val="22"/>
          <w:szCs w:val="22"/>
          <w:lang w:val="en-US" w:eastAsia="en-GB"/>
        </w:rPr>
        <w:t>. The lowest annualized volatility among BRICS was observed for Shanghai Composite (</w:t>
      </w:r>
      <w:r w:rsidRPr="005B20CE">
        <w:rPr>
          <w:rFonts w:ascii="Palatino Linotype" w:eastAsia="Times New Roman" w:hAnsi="Palatino Linotype"/>
          <w:bCs/>
          <w:sz w:val="22"/>
          <w:szCs w:val="22"/>
          <w:lang w:val="en-US" w:eastAsia="en-GB"/>
        </w:rPr>
        <w:t>12.1</w:t>
      </w:r>
      <w:r w:rsidRPr="008C1016">
        <w:rPr>
          <w:rFonts w:ascii="Palatino Linotype" w:eastAsia="Times New Roman" w:hAnsi="Palatino Linotype"/>
          <w:bCs/>
          <w:sz w:val="22"/>
          <w:szCs w:val="22"/>
          <w:lang w:val="en-US" w:eastAsia="en-GB"/>
        </w:rPr>
        <w:t xml:space="preserve"> per cent) followed by Russian Traded (</w:t>
      </w:r>
      <w:r w:rsidRPr="005B20CE">
        <w:rPr>
          <w:rFonts w:ascii="Palatino Linotype" w:eastAsia="Times New Roman" w:hAnsi="Palatino Linotype"/>
          <w:bCs/>
          <w:sz w:val="22"/>
          <w:szCs w:val="22"/>
          <w:lang w:val="en-US" w:eastAsia="en-GB"/>
        </w:rPr>
        <w:t>14.</w:t>
      </w:r>
      <w:r>
        <w:rPr>
          <w:rFonts w:ascii="Palatino Linotype" w:eastAsia="Times New Roman" w:hAnsi="Palatino Linotype"/>
          <w:bCs/>
          <w:sz w:val="22"/>
          <w:szCs w:val="22"/>
          <w:lang w:val="en-US" w:eastAsia="en-GB"/>
        </w:rPr>
        <w:t>3</w:t>
      </w:r>
      <w:r w:rsidRPr="008C1016">
        <w:rPr>
          <w:rFonts w:ascii="Palatino Linotype" w:eastAsia="Times New Roman" w:hAnsi="Palatino Linotype"/>
          <w:bCs/>
          <w:sz w:val="22"/>
          <w:szCs w:val="22"/>
          <w:lang w:val="en-US" w:eastAsia="en-GB"/>
        </w:rPr>
        <w:t xml:space="preserve"> per cent). Among the developed markets, highest annualized volatility was observed in</w:t>
      </w:r>
      <w:r>
        <w:rPr>
          <w:rFonts w:ascii="Palatino Linotype" w:eastAsia="Times New Roman" w:hAnsi="Palatino Linotype"/>
          <w:bCs/>
          <w:sz w:val="22"/>
          <w:szCs w:val="22"/>
          <w:lang w:val="en-US" w:eastAsia="en-GB"/>
        </w:rPr>
        <w:t xml:space="preserve"> Japan </w:t>
      </w:r>
      <w:r w:rsidRPr="00230132">
        <w:rPr>
          <w:rFonts w:ascii="Palatino Linotype" w:eastAsia="Times New Roman" w:hAnsi="Palatino Linotype"/>
          <w:bCs/>
          <w:sz w:val="22"/>
          <w:szCs w:val="22"/>
          <w:lang w:val="en-US" w:eastAsia="en-GB"/>
        </w:rPr>
        <w:t>Nikkei</w:t>
      </w:r>
      <w:r w:rsidRPr="00F1172A">
        <w:rPr>
          <w:rFonts w:ascii="Palatino Linotype" w:eastAsia="Times New Roman" w:hAnsi="Palatino Linotype"/>
          <w:bCs/>
          <w:sz w:val="22"/>
          <w:szCs w:val="22"/>
          <w:lang w:val="en-US" w:eastAsia="en-GB"/>
        </w:rPr>
        <w:t xml:space="preserve"> </w:t>
      </w:r>
      <w:r w:rsidRPr="008C1016">
        <w:rPr>
          <w:rFonts w:ascii="Palatino Linotype" w:eastAsia="Times New Roman" w:hAnsi="Palatino Linotype"/>
          <w:bCs/>
          <w:sz w:val="22"/>
          <w:szCs w:val="22"/>
          <w:lang w:val="en-US" w:eastAsia="en-GB"/>
        </w:rPr>
        <w:t>(</w:t>
      </w:r>
      <w:r w:rsidRPr="00360EC9">
        <w:rPr>
          <w:rFonts w:ascii="Palatino Linotype" w:eastAsia="Times New Roman" w:hAnsi="Palatino Linotype"/>
          <w:bCs/>
          <w:sz w:val="22"/>
          <w:szCs w:val="22"/>
          <w:lang w:val="en-US" w:eastAsia="en-GB"/>
        </w:rPr>
        <w:t>23.2</w:t>
      </w:r>
      <w:r w:rsidRPr="008C1016">
        <w:rPr>
          <w:rFonts w:ascii="Palatino Linotype" w:eastAsia="Times New Roman" w:hAnsi="Palatino Linotype"/>
          <w:bCs/>
          <w:sz w:val="22"/>
          <w:szCs w:val="22"/>
          <w:lang w:val="en-US" w:eastAsia="en-GB"/>
        </w:rPr>
        <w:t xml:space="preserve"> per cent) and the lowest was observed at </w:t>
      </w:r>
      <w:r>
        <w:rPr>
          <w:rFonts w:ascii="Palatino Linotype" w:eastAsia="Times New Roman" w:hAnsi="Palatino Linotype"/>
          <w:bCs/>
          <w:sz w:val="22"/>
          <w:szCs w:val="22"/>
          <w:lang w:val="en-US" w:eastAsia="en-GB"/>
        </w:rPr>
        <w:t xml:space="preserve">South Korea </w:t>
      </w:r>
      <w:r w:rsidRPr="00F1172A">
        <w:rPr>
          <w:rFonts w:ascii="Palatino Linotype" w:eastAsia="Times New Roman" w:hAnsi="Palatino Linotype"/>
          <w:bCs/>
          <w:sz w:val="22"/>
          <w:szCs w:val="22"/>
          <w:lang w:val="en-US" w:eastAsia="en-GB"/>
        </w:rPr>
        <w:t xml:space="preserve">KOSPI </w:t>
      </w:r>
      <w:r w:rsidRPr="008C1016">
        <w:rPr>
          <w:rFonts w:ascii="Palatino Linotype" w:eastAsia="Times New Roman" w:hAnsi="Palatino Linotype"/>
          <w:bCs/>
          <w:sz w:val="22"/>
          <w:szCs w:val="22"/>
          <w:lang w:val="en-US" w:eastAsia="en-GB"/>
        </w:rPr>
        <w:t>(</w:t>
      </w:r>
      <w:r w:rsidRPr="00F1172A">
        <w:rPr>
          <w:rFonts w:ascii="Palatino Linotype" w:eastAsia="Times New Roman" w:hAnsi="Palatino Linotype"/>
          <w:bCs/>
          <w:sz w:val="22"/>
          <w:szCs w:val="22"/>
          <w:lang w:val="en-US" w:eastAsia="en-GB"/>
        </w:rPr>
        <w:t>13.6</w:t>
      </w:r>
      <w:r w:rsidRPr="008C1016">
        <w:rPr>
          <w:rFonts w:ascii="Palatino Linotype" w:eastAsia="Times New Roman" w:hAnsi="Palatino Linotype"/>
          <w:bCs/>
          <w:sz w:val="22"/>
          <w:szCs w:val="22"/>
          <w:lang w:val="en-US" w:eastAsia="en-GB"/>
        </w:rPr>
        <w:t xml:space="preserve"> per cent). </w:t>
      </w:r>
    </w:p>
    <w:p w:rsidR="003F4581" w:rsidRPr="00841DB5" w:rsidRDefault="003F4581" w:rsidP="003F4581">
      <w:pPr>
        <w:spacing w:line="276" w:lineRule="auto"/>
        <w:ind w:left="357"/>
        <w:jc w:val="both"/>
        <w:rPr>
          <w:rFonts w:ascii="Garamond" w:eastAsia="Times New Roman" w:hAnsi="Garamond"/>
          <w:bCs/>
          <w:color w:val="FF0000"/>
          <w:lang w:val="en-US" w:eastAsia="en-GB"/>
        </w:rPr>
      </w:pPr>
    </w:p>
    <w:p w:rsidR="003F4581" w:rsidRPr="00841DB5" w:rsidRDefault="003F4581" w:rsidP="003F4581">
      <w:pPr>
        <w:numPr>
          <w:ilvl w:val="0"/>
          <w:numId w:val="8"/>
        </w:numPr>
        <w:spacing w:line="276" w:lineRule="auto"/>
        <w:jc w:val="both"/>
        <w:rPr>
          <w:rFonts w:ascii="Palatino Linotype" w:eastAsia="Times New Roman" w:hAnsi="Palatino Linotype"/>
          <w:bCs/>
          <w:color w:val="FF0000"/>
          <w:sz w:val="22"/>
          <w:szCs w:val="22"/>
          <w:lang w:val="en-US" w:eastAsia="en-GB"/>
        </w:rPr>
      </w:pPr>
      <w:r w:rsidRPr="00841DB5">
        <w:rPr>
          <w:rFonts w:ascii="Palatino Linotype" w:eastAsia="Times New Roman" w:hAnsi="Palatino Linotype"/>
          <w:bCs/>
          <w:sz w:val="22"/>
          <w:szCs w:val="22"/>
          <w:lang w:val="en-US" w:eastAsia="en-GB"/>
        </w:rPr>
        <w:t>In most of the analyzed markets</w:t>
      </w:r>
      <w:r w:rsidRPr="00841DB5">
        <w:rPr>
          <w:rFonts w:ascii="Palatino Linotype" w:eastAsia="Times New Roman" w:hAnsi="Palatino Linotype"/>
          <w:bCs/>
          <w:sz w:val="22"/>
          <w:szCs w:val="22"/>
          <w:vertAlign w:val="superscript"/>
          <w:lang w:val="en-US" w:eastAsia="en-GB"/>
        </w:rPr>
        <w:footnoteReference w:id="4"/>
      </w:r>
      <w:r w:rsidRPr="00841DB5">
        <w:rPr>
          <w:rFonts w:ascii="Palatino Linotype" w:eastAsia="Times New Roman" w:hAnsi="Palatino Linotype"/>
          <w:bCs/>
          <w:sz w:val="22"/>
          <w:szCs w:val="22"/>
          <w:lang w:val="en-US" w:eastAsia="en-GB"/>
        </w:rPr>
        <w:t xml:space="preserve">, an increase was observed in the indices during </w:t>
      </w:r>
      <w:r>
        <w:rPr>
          <w:rFonts w:ascii="Palatino Linotype" w:eastAsia="Times New Roman" w:hAnsi="Palatino Linotype"/>
          <w:bCs/>
          <w:sz w:val="22"/>
          <w:szCs w:val="22"/>
          <w:lang w:val="en-US" w:eastAsia="en-GB"/>
        </w:rPr>
        <w:t>May</w:t>
      </w:r>
      <w:r w:rsidRPr="00841DB5">
        <w:rPr>
          <w:rFonts w:ascii="Palatino Linotype" w:eastAsia="Times New Roman" w:hAnsi="Palatino Linotype"/>
          <w:bCs/>
          <w:sz w:val="22"/>
          <w:szCs w:val="22"/>
          <w:lang w:val="en-US" w:eastAsia="en-GB"/>
        </w:rPr>
        <w:t xml:space="preserve"> 2021 over the previous month. Amongst BRICS nations, an increase was observed in Russian Traded (</w:t>
      </w:r>
      <w:r w:rsidRPr="00F10EE7">
        <w:rPr>
          <w:rFonts w:ascii="Palatino Linotype" w:eastAsia="Times New Roman" w:hAnsi="Palatino Linotype"/>
          <w:bCs/>
          <w:sz w:val="22"/>
          <w:szCs w:val="22"/>
          <w:lang w:val="en-US" w:eastAsia="en-GB"/>
        </w:rPr>
        <w:t xml:space="preserve">7.9 </w:t>
      </w:r>
      <w:r w:rsidRPr="00841DB5">
        <w:rPr>
          <w:rFonts w:ascii="Palatino Linotype" w:eastAsia="Times New Roman" w:hAnsi="Palatino Linotype"/>
          <w:bCs/>
          <w:sz w:val="22"/>
          <w:szCs w:val="22"/>
          <w:lang w:val="en-US" w:eastAsia="en-GB"/>
        </w:rPr>
        <w:t>per cent), followed by India’s Nifty 50</w:t>
      </w:r>
      <w:r>
        <w:rPr>
          <w:rFonts w:ascii="Palatino Linotype" w:eastAsia="Times New Roman" w:hAnsi="Palatino Linotype"/>
          <w:bCs/>
          <w:sz w:val="22"/>
          <w:szCs w:val="22"/>
          <w:lang w:val="en-US" w:eastAsia="en-GB"/>
        </w:rPr>
        <w:t xml:space="preserve"> &amp; </w:t>
      </w:r>
      <w:r w:rsidRPr="00F10EE7">
        <w:rPr>
          <w:rFonts w:ascii="Palatino Linotype" w:eastAsia="Times New Roman" w:hAnsi="Palatino Linotype"/>
          <w:bCs/>
          <w:sz w:val="22"/>
          <w:szCs w:val="22"/>
          <w:lang w:val="en-US" w:eastAsia="en-GB"/>
        </w:rPr>
        <w:t xml:space="preserve">S&amp;P BSE SENSEX </w:t>
      </w:r>
      <w:r w:rsidRPr="00841DB5">
        <w:rPr>
          <w:rFonts w:ascii="Palatino Linotype" w:eastAsia="Times New Roman" w:hAnsi="Palatino Linotype"/>
          <w:bCs/>
          <w:sz w:val="22"/>
          <w:szCs w:val="22"/>
          <w:lang w:val="en-US" w:eastAsia="en-GB"/>
        </w:rPr>
        <w:t>(</w:t>
      </w:r>
      <w:r w:rsidRPr="00F10EE7">
        <w:rPr>
          <w:rFonts w:ascii="Palatino Linotype" w:eastAsia="Times New Roman" w:hAnsi="Palatino Linotype"/>
          <w:bCs/>
          <w:sz w:val="22"/>
          <w:szCs w:val="22"/>
          <w:lang w:val="en-US" w:eastAsia="en-GB"/>
        </w:rPr>
        <w:t>6.5</w:t>
      </w:r>
      <w:r w:rsidRPr="00841DB5">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each</w:t>
      </w:r>
      <w:r w:rsidRPr="00841DB5">
        <w:rPr>
          <w:rFonts w:ascii="Palatino Linotype" w:eastAsia="Times New Roman" w:hAnsi="Palatino Linotype"/>
          <w:bCs/>
          <w:sz w:val="22"/>
          <w:szCs w:val="22"/>
          <w:lang w:val="en-US" w:eastAsia="en-GB"/>
        </w:rPr>
        <w:t xml:space="preserve">) and Brazil IBOVESPA grew by </w:t>
      </w:r>
      <w:r w:rsidRPr="00F10EE7">
        <w:rPr>
          <w:rFonts w:ascii="Palatino Linotype" w:eastAsia="Times New Roman" w:hAnsi="Palatino Linotype"/>
          <w:bCs/>
          <w:sz w:val="22"/>
          <w:szCs w:val="22"/>
          <w:lang w:val="en-US" w:eastAsia="en-GB"/>
        </w:rPr>
        <w:t>6.2</w:t>
      </w:r>
      <w:r w:rsidRPr="00841DB5">
        <w:rPr>
          <w:rFonts w:ascii="Palatino Linotype" w:eastAsia="Times New Roman" w:hAnsi="Palatino Linotype"/>
          <w:bCs/>
          <w:sz w:val="22"/>
          <w:szCs w:val="22"/>
          <w:lang w:val="en-US" w:eastAsia="en-GB"/>
        </w:rPr>
        <w:t xml:space="preserve"> per cent. Shanghai Composite </w:t>
      </w:r>
      <w:r>
        <w:rPr>
          <w:rFonts w:ascii="Palatino Linotype" w:eastAsia="Times New Roman" w:hAnsi="Palatino Linotype"/>
          <w:bCs/>
          <w:sz w:val="22"/>
          <w:szCs w:val="22"/>
          <w:lang w:val="en-US" w:eastAsia="en-GB"/>
        </w:rPr>
        <w:t xml:space="preserve">grew </w:t>
      </w:r>
      <w:r w:rsidRPr="00841DB5">
        <w:rPr>
          <w:rFonts w:ascii="Palatino Linotype" w:eastAsia="Times New Roman" w:hAnsi="Palatino Linotype"/>
          <w:bCs/>
          <w:sz w:val="22"/>
          <w:szCs w:val="22"/>
          <w:lang w:val="en-US" w:eastAsia="en-GB"/>
        </w:rPr>
        <w:t xml:space="preserve">by </w:t>
      </w:r>
      <w:r w:rsidRPr="00F10EE7">
        <w:rPr>
          <w:rFonts w:ascii="Palatino Linotype" w:eastAsia="Times New Roman" w:hAnsi="Palatino Linotype"/>
          <w:bCs/>
          <w:sz w:val="22"/>
          <w:szCs w:val="22"/>
          <w:lang w:val="en-US" w:eastAsia="en-GB"/>
        </w:rPr>
        <w:t>4.9</w:t>
      </w:r>
      <w:r w:rsidRPr="00841DB5">
        <w:rPr>
          <w:rFonts w:ascii="Palatino Linotype" w:eastAsia="Times New Roman" w:hAnsi="Palatino Linotype"/>
          <w:bCs/>
          <w:sz w:val="22"/>
          <w:szCs w:val="22"/>
          <w:lang w:val="en-US" w:eastAsia="en-GB"/>
        </w:rPr>
        <w:t xml:space="preserve"> per cent whereas South Africa FTSE </w:t>
      </w:r>
      <w:r>
        <w:rPr>
          <w:rFonts w:ascii="Palatino Linotype" w:eastAsia="Times New Roman" w:hAnsi="Palatino Linotype"/>
          <w:bCs/>
          <w:sz w:val="22"/>
          <w:szCs w:val="22"/>
          <w:lang w:val="en-US" w:eastAsia="en-GB"/>
        </w:rPr>
        <w:t>grew by 1.5</w:t>
      </w:r>
      <w:r w:rsidRPr="00841DB5">
        <w:rPr>
          <w:rFonts w:ascii="Palatino Linotype" w:eastAsia="Times New Roman" w:hAnsi="Palatino Linotype"/>
          <w:bCs/>
          <w:sz w:val="22"/>
          <w:szCs w:val="22"/>
          <w:lang w:val="en-US" w:eastAsia="en-GB"/>
        </w:rPr>
        <w:t>.</w:t>
      </w:r>
      <w:r w:rsidRPr="00F10EE7">
        <w:rPr>
          <w:rFonts w:ascii="Palatino Linotype" w:eastAsia="Times New Roman" w:hAnsi="Palatino Linotype"/>
          <w:bCs/>
          <w:sz w:val="22"/>
          <w:szCs w:val="22"/>
          <w:lang w:val="en-US" w:eastAsia="en-GB"/>
        </w:rPr>
        <w:t xml:space="preserve"> </w:t>
      </w:r>
    </w:p>
    <w:p w:rsidR="003F4581" w:rsidRPr="00230132" w:rsidRDefault="003F4581" w:rsidP="003F4581">
      <w:pPr>
        <w:spacing w:line="276" w:lineRule="auto"/>
        <w:ind w:left="357"/>
        <w:jc w:val="both"/>
        <w:rPr>
          <w:rFonts w:ascii="Garamond" w:eastAsia="Times New Roman" w:hAnsi="Garamond"/>
          <w:bCs/>
          <w:color w:val="FF0000"/>
          <w:lang w:val="en-US" w:eastAsia="en-GB"/>
        </w:rPr>
      </w:pPr>
    </w:p>
    <w:p w:rsidR="003F4581" w:rsidRPr="00230132" w:rsidRDefault="003F4581" w:rsidP="003F4581">
      <w:pPr>
        <w:numPr>
          <w:ilvl w:val="0"/>
          <w:numId w:val="8"/>
        </w:numPr>
        <w:spacing w:line="276" w:lineRule="auto"/>
        <w:contextualSpacing/>
        <w:jc w:val="both"/>
        <w:rPr>
          <w:rFonts w:ascii="Palatino Linotype" w:eastAsia="Times New Roman" w:hAnsi="Palatino Linotype"/>
          <w:bCs/>
          <w:sz w:val="22"/>
          <w:szCs w:val="22"/>
          <w:lang w:val="en-US" w:eastAsia="en-GB"/>
        </w:rPr>
      </w:pPr>
      <w:r w:rsidRPr="00230132">
        <w:rPr>
          <w:rFonts w:ascii="Palatino Linotype" w:eastAsia="Times New Roman" w:hAnsi="Palatino Linotype"/>
          <w:bCs/>
          <w:sz w:val="22"/>
          <w:szCs w:val="22"/>
          <w:lang w:val="en-US" w:eastAsia="en-GB"/>
        </w:rPr>
        <w:t xml:space="preserve">Among the developed economies, in the month of </w:t>
      </w:r>
      <w:r>
        <w:rPr>
          <w:rFonts w:ascii="Palatino Linotype" w:eastAsia="Times New Roman" w:hAnsi="Palatino Linotype"/>
          <w:bCs/>
          <w:sz w:val="22"/>
          <w:szCs w:val="22"/>
          <w:lang w:val="en-US" w:eastAsia="en-GB"/>
        </w:rPr>
        <w:t>May</w:t>
      </w:r>
      <w:r w:rsidRPr="00230132">
        <w:rPr>
          <w:rFonts w:ascii="Palatino Linotype" w:eastAsia="Times New Roman" w:hAnsi="Palatino Linotype"/>
          <w:bCs/>
          <w:sz w:val="22"/>
          <w:szCs w:val="22"/>
          <w:lang w:val="en-US" w:eastAsia="en-GB"/>
        </w:rPr>
        <w:t xml:space="preserve"> 2021, highest indices growth was observed for France CAC</w:t>
      </w:r>
      <w:r>
        <w:rPr>
          <w:rFonts w:ascii="Palatino Linotype" w:eastAsia="Times New Roman" w:hAnsi="Palatino Linotype"/>
          <w:bCs/>
          <w:sz w:val="22"/>
          <w:szCs w:val="22"/>
          <w:lang w:val="en-US" w:eastAsia="en-GB"/>
        </w:rPr>
        <w:t xml:space="preserve"> 40 </w:t>
      </w:r>
      <w:r w:rsidRPr="00230132">
        <w:rPr>
          <w:rFonts w:ascii="Palatino Linotype" w:eastAsia="Times New Roman" w:hAnsi="Palatino Linotype"/>
          <w:bCs/>
          <w:sz w:val="22"/>
          <w:szCs w:val="22"/>
          <w:lang w:val="en-US" w:eastAsia="en-GB"/>
        </w:rPr>
        <w:t>(</w:t>
      </w:r>
      <w:r w:rsidRPr="00360EC9">
        <w:rPr>
          <w:rFonts w:ascii="Palatino Linotype" w:eastAsia="Times New Roman" w:hAnsi="Palatino Linotype"/>
          <w:bCs/>
          <w:sz w:val="22"/>
          <w:szCs w:val="22"/>
          <w:lang w:val="en-US" w:eastAsia="en-GB"/>
        </w:rPr>
        <w:t>2.8</w:t>
      </w:r>
      <w:r w:rsidRPr="00230132">
        <w:rPr>
          <w:rFonts w:ascii="Palatino Linotype" w:eastAsia="Times New Roman" w:hAnsi="Palatino Linotype"/>
          <w:bCs/>
          <w:sz w:val="22"/>
          <w:szCs w:val="22"/>
          <w:lang w:val="en-US" w:eastAsia="en-GB"/>
        </w:rPr>
        <w:t xml:space="preserve"> per cent) followed by USA Dow Jones (</w:t>
      </w:r>
      <w:r w:rsidRPr="00360EC9">
        <w:rPr>
          <w:rFonts w:ascii="Palatino Linotype" w:eastAsia="Times New Roman" w:hAnsi="Palatino Linotype"/>
          <w:bCs/>
          <w:sz w:val="22"/>
          <w:szCs w:val="22"/>
          <w:lang w:val="en-US" w:eastAsia="en-GB"/>
        </w:rPr>
        <w:t>1.9</w:t>
      </w:r>
      <w:r w:rsidRPr="00230132">
        <w:rPr>
          <w:rFonts w:ascii="Palatino Linotype" w:eastAsia="Times New Roman" w:hAnsi="Palatino Linotype"/>
          <w:bCs/>
          <w:sz w:val="22"/>
          <w:szCs w:val="22"/>
          <w:lang w:val="en-US" w:eastAsia="en-GB"/>
        </w:rPr>
        <w:t xml:space="preserve"> per cent). A decrease in monthly growth was observed in</w:t>
      </w:r>
      <w:r w:rsidRPr="00360EC9">
        <w:rPr>
          <w:rFonts w:ascii="Palatino Linotype" w:eastAsia="Times New Roman" w:hAnsi="Palatino Linotype"/>
          <w:bCs/>
          <w:sz w:val="22"/>
          <w:szCs w:val="22"/>
          <w:lang w:val="en-US" w:eastAsia="en-GB"/>
        </w:rPr>
        <w:t xml:space="preserve"> </w:t>
      </w:r>
      <w:r w:rsidRPr="00230132">
        <w:rPr>
          <w:rFonts w:ascii="Palatino Linotype" w:eastAsia="Times New Roman" w:hAnsi="Palatino Linotype"/>
          <w:bCs/>
          <w:sz w:val="22"/>
          <w:szCs w:val="22"/>
          <w:lang w:val="en-US" w:eastAsia="en-GB"/>
        </w:rPr>
        <w:t>Nasdaq COMPOSITE (</w:t>
      </w:r>
      <w:r w:rsidRPr="00360EC9">
        <w:rPr>
          <w:rFonts w:ascii="Palatino Linotype" w:eastAsia="Times New Roman" w:hAnsi="Palatino Linotype"/>
          <w:bCs/>
          <w:sz w:val="22"/>
          <w:szCs w:val="22"/>
          <w:lang w:val="en-US" w:eastAsia="en-GB"/>
        </w:rPr>
        <w:t>-1.5</w:t>
      </w:r>
      <w:r w:rsidRPr="00230132">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and </w:t>
      </w:r>
      <w:r w:rsidRPr="00230132">
        <w:rPr>
          <w:rFonts w:ascii="Palatino Linotype" w:eastAsia="Times New Roman" w:hAnsi="Palatino Linotype"/>
          <w:bCs/>
          <w:sz w:val="22"/>
          <w:szCs w:val="22"/>
          <w:lang w:val="en-US" w:eastAsia="en-GB"/>
        </w:rPr>
        <w:t>Singapore STI</w:t>
      </w:r>
      <w:r>
        <w:rPr>
          <w:rFonts w:ascii="Palatino Linotype" w:eastAsia="Times New Roman" w:hAnsi="Palatino Linotype"/>
          <w:bCs/>
          <w:sz w:val="22"/>
          <w:szCs w:val="22"/>
          <w:lang w:val="en-US" w:eastAsia="en-GB"/>
        </w:rPr>
        <w:t xml:space="preserve"> (1.7 per cent)</w:t>
      </w:r>
      <w:r w:rsidRPr="00230132">
        <w:rPr>
          <w:rFonts w:ascii="Palatino Linotype" w:eastAsia="Times New Roman" w:hAnsi="Palatino Linotype"/>
          <w:bCs/>
          <w:sz w:val="22"/>
          <w:szCs w:val="22"/>
          <w:lang w:val="en-US" w:eastAsia="en-GB"/>
        </w:rPr>
        <w:t xml:space="preserve">. </w:t>
      </w:r>
      <w:r w:rsidRPr="00230132">
        <w:rPr>
          <w:rFonts w:ascii="Palatino Linotype" w:eastAsia="Times New Roman" w:hAnsi="Palatino Linotype"/>
          <w:bCs/>
          <w:sz w:val="22"/>
          <w:szCs w:val="22"/>
          <w:lang w:val="en-US" w:eastAsia="en-GB"/>
        </w:rPr>
        <w:lastRenderedPageBreak/>
        <w:t>Growth in UK FTSE 100</w:t>
      </w:r>
      <w:r>
        <w:rPr>
          <w:rFonts w:ascii="Palatino Linotype" w:eastAsia="Times New Roman" w:hAnsi="Palatino Linotype"/>
          <w:bCs/>
          <w:sz w:val="22"/>
          <w:szCs w:val="22"/>
          <w:lang w:val="en-US" w:eastAsia="en-GB"/>
        </w:rPr>
        <w:t>,</w:t>
      </w:r>
      <w:r w:rsidRPr="00230132">
        <w:rPr>
          <w:rFonts w:ascii="Palatino Linotype" w:eastAsia="Times New Roman" w:hAnsi="Palatino Linotype"/>
          <w:bCs/>
          <w:sz w:val="22"/>
          <w:szCs w:val="22"/>
          <w:lang w:val="en-US" w:eastAsia="en-GB"/>
        </w:rPr>
        <w:t xml:space="preserve"> Japan Nikkei and German DAX were </w:t>
      </w:r>
      <w:r w:rsidRPr="00A16EB5">
        <w:rPr>
          <w:rFonts w:ascii="Palatino Linotype" w:eastAsia="Times New Roman" w:hAnsi="Palatino Linotype"/>
          <w:bCs/>
          <w:sz w:val="22"/>
          <w:szCs w:val="22"/>
          <w:lang w:val="en-US" w:eastAsia="en-GB"/>
        </w:rPr>
        <w:t>0.8</w:t>
      </w:r>
      <w:r w:rsidRPr="00230132">
        <w:rPr>
          <w:rFonts w:ascii="Palatino Linotype" w:eastAsia="Times New Roman" w:hAnsi="Palatino Linotype"/>
          <w:bCs/>
          <w:sz w:val="22"/>
          <w:szCs w:val="22"/>
          <w:lang w:val="en-US" w:eastAsia="en-GB"/>
        </w:rPr>
        <w:t xml:space="preserve">, </w:t>
      </w:r>
      <w:r w:rsidRPr="00A16EB5">
        <w:rPr>
          <w:rFonts w:ascii="Palatino Linotype" w:eastAsia="Times New Roman" w:hAnsi="Palatino Linotype"/>
          <w:bCs/>
          <w:sz w:val="22"/>
          <w:szCs w:val="22"/>
          <w:lang w:val="en-US" w:eastAsia="en-GB"/>
        </w:rPr>
        <w:t>0.2</w:t>
      </w:r>
      <w:r w:rsidRPr="00230132">
        <w:rPr>
          <w:rFonts w:ascii="Palatino Linotype" w:eastAsia="Times New Roman" w:hAnsi="Palatino Linotype"/>
          <w:bCs/>
          <w:sz w:val="22"/>
          <w:szCs w:val="22"/>
          <w:lang w:val="en-US" w:eastAsia="en-GB"/>
        </w:rPr>
        <w:t xml:space="preserve"> and </w:t>
      </w:r>
      <w:r w:rsidRPr="00A16EB5">
        <w:rPr>
          <w:rFonts w:ascii="Palatino Linotype" w:eastAsia="Times New Roman" w:hAnsi="Palatino Linotype"/>
          <w:bCs/>
          <w:sz w:val="22"/>
          <w:szCs w:val="22"/>
          <w:lang w:val="en-US" w:eastAsia="en-GB"/>
        </w:rPr>
        <w:t>1.9</w:t>
      </w:r>
      <w:r w:rsidRPr="00230132">
        <w:rPr>
          <w:rFonts w:ascii="Palatino Linotype" w:eastAsia="Times New Roman" w:hAnsi="Palatino Linotype"/>
          <w:bCs/>
          <w:sz w:val="22"/>
          <w:szCs w:val="22"/>
          <w:lang w:val="en-US" w:eastAsia="en-GB"/>
        </w:rPr>
        <w:t xml:space="preserve"> per cent respectively over the previous month. </w:t>
      </w:r>
    </w:p>
    <w:p w:rsidR="003F4581" w:rsidRDefault="003F4581" w:rsidP="003F4581">
      <w:pPr>
        <w:spacing w:line="23" w:lineRule="atLeast"/>
        <w:jc w:val="both"/>
        <w:outlineLvl w:val="0"/>
        <w:rPr>
          <w:rFonts w:ascii="Garamond" w:hAnsi="Garamond"/>
          <w:b/>
          <w:bCs/>
          <w:noProof/>
          <w:lang w:val="en-US"/>
        </w:rPr>
      </w:pPr>
    </w:p>
    <w:p w:rsidR="003F4581" w:rsidRPr="002622E2" w:rsidRDefault="003F4581" w:rsidP="003F4581">
      <w:pPr>
        <w:spacing w:line="23" w:lineRule="atLeast"/>
        <w:jc w:val="both"/>
        <w:outlineLvl w:val="0"/>
        <w:rPr>
          <w:rFonts w:ascii="Garamond" w:hAnsi="Garamond"/>
          <w:b/>
          <w:bCs/>
          <w:szCs w:val="22"/>
        </w:rPr>
      </w:pPr>
      <w:r w:rsidRPr="002622E2">
        <w:rPr>
          <w:rFonts w:ascii="Garamond" w:hAnsi="Garamond"/>
          <w:b/>
          <w:bCs/>
          <w:noProof/>
          <w:lang w:val="en-US"/>
        </w:rPr>
        <w:t>Figure</w:t>
      </w:r>
      <w:r w:rsidRPr="002622E2">
        <w:rPr>
          <w:rFonts w:ascii="Garamond" w:hAnsi="Garamond"/>
          <w:b/>
          <w:bCs/>
          <w:szCs w:val="22"/>
        </w:rPr>
        <w:t xml:space="preserve"> 1: Stock Market Trends in Selected Developed Markets</w:t>
      </w:r>
    </w:p>
    <w:p w:rsidR="003F4581" w:rsidRPr="002622E2" w:rsidRDefault="003F4581" w:rsidP="003F4581">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extent cx="5655310" cy="26733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5310" cy="2673350"/>
                    </a:xfrm>
                    <a:prstGeom prst="rect">
                      <a:avLst/>
                    </a:prstGeom>
                    <a:noFill/>
                  </pic:spPr>
                </pic:pic>
              </a:graphicData>
            </a:graphic>
          </wp:inline>
        </w:drawing>
      </w:r>
    </w:p>
    <w:p w:rsidR="003F4581" w:rsidRPr="002622E2" w:rsidRDefault="003F4581" w:rsidP="003F4581">
      <w:pPr>
        <w:spacing w:line="23" w:lineRule="atLeast"/>
        <w:jc w:val="both"/>
        <w:outlineLvl w:val="0"/>
        <w:rPr>
          <w:rFonts w:ascii="Garamond" w:hAnsi="Garamond"/>
          <w:bCs/>
          <w:sz w:val="18"/>
          <w:szCs w:val="18"/>
        </w:rPr>
      </w:pPr>
      <w:r w:rsidRPr="002622E2">
        <w:rPr>
          <w:rFonts w:ascii="Garamond" w:hAnsi="Garamond"/>
          <w:bCs/>
          <w:sz w:val="18"/>
          <w:szCs w:val="18"/>
        </w:rPr>
        <w:t xml:space="preserve">Note: All indices have been </w:t>
      </w:r>
      <w:r>
        <w:rPr>
          <w:rFonts w:ascii="Garamond" w:hAnsi="Garamond"/>
          <w:bCs/>
          <w:sz w:val="18"/>
          <w:szCs w:val="18"/>
        </w:rPr>
        <w:t>normalised to 100 on 31 May 2020</w:t>
      </w:r>
      <w:r w:rsidRPr="002622E2">
        <w:rPr>
          <w:rFonts w:ascii="Garamond" w:hAnsi="Garamond"/>
          <w:bCs/>
          <w:sz w:val="18"/>
          <w:szCs w:val="18"/>
        </w:rPr>
        <w:t>.</w:t>
      </w:r>
    </w:p>
    <w:p w:rsidR="003F4581" w:rsidRPr="002622E2" w:rsidRDefault="003F4581" w:rsidP="003F4581">
      <w:pPr>
        <w:spacing w:line="23" w:lineRule="atLeast"/>
        <w:jc w:val="both"/>
        <w:outlineLvl w:val="0"/>
        <w:rPr>
          <w:rFonts w:ascii="Garamond" w:hAnsi="Garamond"/>
          <w:bCs/>
          <w:sz w:val="18"/>
          <w:szCs w:val="18"/>
        </w:rPr>
      </w:pPr>
      <w:r w:rsidRPr="002622E2">
        <w:rPr>
          <w:rFonts w:ascii="Garamond" w:hAnsi="Garamond"/>
          <w:bCs/>
          <w:sz w:val="18"/>
          <w:szCs w:val="18"/>
        </w:rPr>
        <w:t>Source: Refinitiv</w:t>
      </w:r>
    </w:p>
    <w:p w:rsidR="003F4581" w:rsidRPr="00073FE2" w:rsidRDefault="003F4581" w:rsidP="003F4581">
      <w:pPr>
        <w:spacing w:line="23" w:lineRule="atLeast"/>
        <w:rPr>
          <w:rFonts w:ascii="Garamond" w:hAnsi="Garamond"/>
          <w:bCs/>
          <w:strike/>
          <w:sz w:val="22"/>
          <w:szCs w:val="22"/>
        </w:rPr>
      </w:pPr>
    </w:p>
    <w:p w:rsidR="003F4581" w:rsidRPr="002622E2" w:rsidRDefault="003F4581" w:rsidP="003F4581">
      <w:pPr>
        <w:spacing w:line="23" w:lineRule="atLeast"/>
        <w:rPr>
          <w:rFonts w:ascii="Garamond" w:hAnsi="Garamond"/>
          <w:b/>
          <w:bCs/>
          <w:szCs w:val="22"/>
        </w:rPr>
      </w:pPr>
    </w:p>
    <w:p w:rsidR="003F4581" w:rsidRPr="002622E2" w:rsidRDefault="003F4581" w:rsidP="003F4581">
      <w:pPr>
        <w:rPr>
          <w:rFonts w:ascii="Garamond" w:hAnsi="Garamond"/>
          <w:b/>
          <w:bCs/>
          <w:szCs w:val="22"/>
        </w:rPr>
      </w:pPr>
      <w:r w:rsidRPr="002622E2">
        <w:rPr>
          <w:rFonts w:ascii="Garamond" w:hAnsi="Garamond"/>
          <w:b/>
          <w:bCs/>
          <w:szCs w:val="22"/>
        </w:rPr>
        <w:t>Figure 2: Stock Market Trends in Selected Emerging Markets</w:t>
      </w:r>
    </w:p>
    <w:p w:rsidR="003F4581" w:rsidRPr="002622E2" w:rsidRDefault="003F4581" w:rsidP="003F4581">
      <w:pPr>
        <w:spacing w:line="23" w:lineRule="atLeast"/>
        <w:rPr>
          <w:rFonts w:ascii="Garamond" w:hAnsi="Garamond"/>
          <w:bCs/>
          <w:sz w:val="22"/>
          <w:szCs w:val="22"/>
        </w:rPr>
      </w:pPr>
      <w:r>
        <w:rPr>
          <w:rFonts w:ascii="Garamond" w:hAnsi="Garamond"/>
          <w:bCs/>
          <w:noProof/>
          <w:sz w:val="22"/>
          <w:szCs w:val="22"/>
          <w:lang w:val="en-IN" w:eastAsia="en-IN" w:bidi="hi-IN"/>
        </w:rPr>
        <w:drawing>
          <wp:inline distT="0" distB="0" distL="0" distR="0">
            <wp:extent cx="5169535" cy="32365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69535" cy="3236595"/>
                    </a:xfrm>
                    <a:prstGeom prst="rect">
                      <a:avLst/>
                    </a:prstGeom>
                    <a:noFill/>
                  </pic:spPr>
                </pic:pic>
              </a:graphicData>
            </a:graphic>
          </wp:inline>
        </w:drawing>
      </w:r>
    </w:p>
    <w:p w:rsidR="003F4581" w:rsidRPr="002622E2" w:rsidRDefault="003F4581" w:rsidP="003F4581">
      <w:pPr>
        <w:spacing w:line="23" w:lineRule="atLeast"/>
        <w:jc w:val="both"/>
        <w:outlineLvl w:val="0"/>
        <w:rPr>
          <w:rFonts w:ascii="Garamond" w:hAnsi="Garamond"/>
          <w:bCs/>
          <w:sz w:val="18"/>
          <w:szCs w:val="18"/>
        </w:rPr>
      </w:pPr>
      <w:r w:rsidRPr="002622E2">
        <w:rPr>
          <w:rFonts w:ascii="Garamond" w:hAnsi="Garamond"/>
          <w:bCs/>
          <w:sz w:val="18"/>
          <w:szCs w:val="18"/>
        </w:rPr>
        <w:t xml:space="preserve">Note: All indices have been </w:t>
      </w:r>
      <w:r>
        <w:rPr>
          <w:rFonts w:ascii="Garamond" w:hAnsi="Garamond"/>
          <w:bCs/>
          <w:sz w:val="18"/>
          <w:szCs w:val="18"/>
        </w:rPr>
        <w:t xml:space="preserve">normalised to 100 on </w:t>
      </w:r>
      <w:r w:rsidRPr="00483369">
        <w:rPr>
          <w:rFonts w:ascii="Garamond" w:hAnsi="Garamond"/>
          <w:bCs/>
          <w:sz w:val="18"/>
          <w:szCs w:val="18"/>
        </w:rPr>
        <w:t xml:space="preserve">31 May </w:t>
      </w:r>
      <w:r>
        <w:rPr>
          <w:rFonts w:ascii="Garamond" w:hAnsi="Garamond"/>
          <w:bCs/>
          <w:sz w:val="18"/>
          <w:szCs w:val="18"/>
        </w:rPr>
        <w:t>2020</w:t>
      </w:r>
      <w:r w:rsidRPr="002622E2">
        <w:rPr>
          <w:rFonts w:ascii="Garamond" w:hAnsi="Garamond"/>
          <w:bCs/>
          <w:sz w:val="18"/>
          <w:szCs w:val="18"/>
        </w:rPr>
        <w:t>.</w:t>
      </w:r>
    </w:p>
    <w:p w:rsidR="003F4581" w:rsidRPr="0066149F" w:rsidRDefault="003F4581" w:rsidP="003F4581">
      <w:pPr>
        <w:spacing w:line="23" w:lineRule="atLeast"/>
        <w:jc w:val="both"/>
        <w:outlineLvl w:val="0"/>
        <w:rPr>
          <w:rFonts w:ascii="Garamond" w:eastAsia="Times New Roman" w:hAnsi="Garamond"/>
          <w:b/>
          <w:szCs w:val="22"/>
          <w:u w:val="single"/>
          <w:lang w:val="en-US" w:eastAsia="en-GB"/>
        </w:rPr>
      </w:pPr>
      <w:r w:rsidRPr="002622E2">
        <w:rPr>
          <w:rFonts w:ascii="Garamond" w:hAnsi="Garamond"/>
          <w:bCs/>
          <w:sz w:val="18"/>
          <w:szCs w:val="18"/>
        </w:rPr>
        <w:t>Source: Refinitiv</w:t>
      </w:r>
    </w:p>
    <w:p w:rsidR="003F4581" w:rsidRDefault="003F4581" w:rsidP="003F4581">
      <w:pPr>
        <w:spacing w:line="360" w:lineRule="auto"/>
        <w:ind w:left="720"/>
        <w:contextualSpacing/>
        <w:rPr>
          <w:rFonts w:ascii="Garamond" w:eastAsia="Times New Roman" w:hAnsi="Garamond"/>
          <w:b/>
          <w:szCs w:val="22"/>
          <w:u w:val="single"/>
          <w:lang w:val="en-US" w:eastAsia="en-GB"/>
        </w:rPr>
      </w:pPr>
    </w:p>
    <w:p w:rsidR="003F4581" w:rsidRDefault="003F4581" w:rsidP="003F4581">
      <w:pPr>
        <w:spacing w:line="360" w:lineRule="auto"/>
        <w:ind w:left="720"/>
        <w:contextualSpacing/>
        <w:rPr>
          <w:rFonts w:ascii="Garamond" w:eastAsia="Times New Roman" w:hAnsi="Garamond"/>
          <w:b/>
          <w:szCs w:val="22"/>
          <w:u w:val="single"/>
          <w:lang w:val="en-US" w:eastAsia="en-GB"/>
        </w:rPr>
      </w:pPr>
    </w:p>
    <w:p w:rsidR="003F4581" w:rsidRDefault="003F4581" w:rsidP="003F4581">
      <w:pPr>
        <w:spacing w:line="360" w:lineRule="auto"/>
        <w:ind w:left="720"/>
        <w:contextualSpacing/>
        <w:rPr>
          <w:rFonts w:ascii="Garamond" w:eastAsia="Times New Roman" w:hAnsi="Garamond"/>
          <w:b/>
          <w:szCs w:val="22"/>
          <w:u w:val="single"/>
          <w:lang w:val="en-US" w:eastAsia="en-GB"/>
        </w:rPr>
      </w:pPr>
    </w:p>
    <w:p w:rsidR="003F4581" w:rsidRDefault="003F4581" w:rsidP="003F4581">
      <w:pPr>
        <w:spacing w:line="360" w:lineRule="auto"/>
        <w:ind w:left="720"/>
        <w:contextualSpacing/>
        <w:rPr>
          <w:rFonts w:ascii="Garamond" w:eastAsia="Times New Roman" w:hAnsi="Garamond"/>
          <w:b/>
          <w:szCs w:val="22"/>
          <w:u w:val="single"/>
          <w:lang w:val="en-US" w:eastAsia="en-GB"/>
        </w:rPr>
      </w:pPr>
    </w:p>
    <w:p w:rsidR="002F2984" w:rsidRDefault="002F2984" w:rsidP="003F4581">
      <w:pPr>
        <w:spacing w:line="360" w:lineRule="auto"/>
        <w:ind w:left="720"/>
        <w:contextualSpacing/>
        <w:rPr>
          <w:rFonts w:ascii="Garamond" w:eastAsia="Times New Roman" w:hAnsi="Garamond"/>
          <w:b/>
          <w:szCs w:val="22"/>
          <w:u w:val="single"/>
          <w:lang w:val="en-US" w:eastAsia="en-GB"/>
        </w:rPr>
      </w:pPr>
    </w:p>
    <w:p w:rsidR="002F2984" w:rsidRPr="0066149F" w:rsidRDefault="002F2984" w:rsidP="003F4581">
      <w:pPr>
        <w:spacing w:line="360" w:lineRule="auto"/>
        <w:ind w:left="720"/>
        <w:contextualSpacing/>
        <w:rPr>
          <w:rFonts w:ascii="Garamond" w:eastAsia="Times New Roman" w:hAnsi="Garamond"/>
          <w:b/>
          <w:szCs w:val="22"/>
          <w:u w:val="single"/>
          <w:lang w:val="en-US" w:eastAsia="en-GB"/>
        </w:rPr>
      </w:pPr>
    </w:p>
    <w:p w:rsidR="003F4581" w:rsidRPr="008977C1" w:rsidRDefault="003F4581" w:rsidP="003F4581">
      <w:pPr>
        <w:spacing w:line="276" w:lineRule="auto"/>
        <w:ind w:left="720"/>
        <w:contextualSpacing/>
        <w:rPr>
          <w:rFonts w:ascii="Garamond" w:hAnsi="Garamond"/>
          <w:bCs/>
          <w:sz w:val="22"/>
          <w:szCs w:val="22"/>
          <w:lang w:val="en-US"/>
        </w:rPr>
      </w:pPr>
      <w:r w:rsidRPr="0066149F">
        <w:rPr>
          <w:rFonts w:ascii="Garamond" w:eastAsia="Times New Roman" w:hAnsi="Garamond"/>
          <w:b/>
          <w:sz w:val="22"/>
          <w:szCs w:val="22"/>
          <w:u w:val="single"/>
          <w:lang w:val="en-US" w:eastAsia="en-GB"/>
        </w:rPr>
        <w:lastRenderedPageBreak/>
        <w:t>B</w:t>
      </w:r>
      <w:r>
        <w:rPr>
          <w:rFonts w:ascii="Garamond" w:eastAsia="Times New Roman" w:hAnsi="Garamond"/>
          <w:b/>
          <w:sz w:val="22"/>
          <w:szCs w:val="22"/>
          <w:u w:val="single"/>
          <w:lang w:val="en-US" w:eastAsia="en-GB"/>
        </w:rPr>
        <w:t>ond</w:t>
      </w:r>
      <w:r w:rsidRPr="0066149F">
        <w:rPr>
          <w:rFonts w:ascii="Garamond" w:eastAsia="Times New Roman" w:hAnsi="Garamond"/>
          <w:b/>
          <w:sz w:val="22"/>
          <w:szCs w:val="22"/>
          <w:u w:val="single"/>
          <w:lang w:val="en-US" w:eastAsia="en-GB"/>
        </w:rPr>
        <w:t xml:space="preserve"> Market (Figures 3-4)</w:t>
      </w:r>
    </w:p>
    <w:p w:rsidR="003F4581" w:rsidRPr="008977C1" w:rsidRDefault="003F4581" w:rsidP="003F4581">
      <w:pPr>
        <w:numPr>
          <w:ilvl w:val="0"/>
          <w:numId w:val="8"/>
        </w:numPr>
        <w:spacing w:line="276" w:lineRule="auto"/>
        <w:contextualSpacing/>
        <w:jc w:val="both"/>
        <w:rPr>
          <w:rFonts w:ascii="Palatino Linotype" w:hAnsi="Palatino Linotype"/>
          <w:bCs/>
          <w:color w:val="FF0000"/>
          <w:sz w:val="22"/>
          <w:szCs w:val="22"/>
          <w:lang w:val="en-US"/>
        </w:rPr>
      </w:pPr>
      <w:r w:rsidRPr="008977C1">
        <w:rPr>
          <w:rFonts w:ascii="Palatino Linotype" w:eastAsia="Times New Roman" w:hAnsi="Palatino Linotype"/>
          <w:bCs/>
          <w:color w:val="000000"/>
          <w:sz w:val="22"/>
          <w:szCs w:val="22"/>
          <w:lang w:val="en-US" w:eastAsia="en-GB"/>
        </w:rPr>
        <w:t>Among the countries analysed</w:t>
      </w:r>
      <w:r w:rsidRPr="008977C1">
        <w:rPr>
          <w:rFonts w:ascii="Palatino Linotype" w:eastAsia="Times New Roman" w:hAnsi="Palatino Linotype"/>
          <w:bCs/>
          <w:color w:val="000000"/>
          <w:sz w:val="22"/>
          <w:szCs w:val="22"/>
          <w:vertAlign w:val="superscript"/>
          <w:lang w:val="en-US" w:eastAsia="en-GB"/>
        </w:rPr>
        <w:footnoteReference w:id="5"/>
      </w:r>
      <w:r w:rsidRPr="008977C1">
        <w:rPr>
          <w:rFonts w:ascii="Palatino Linotype" w:eastAsia="Times New Roman" w:hAnsi="Palatino Linotype"/>
          <w:bCs/>
          <w:color w:val="000000"/>
          <w:sz w:val="22"/>
          <w:szCs w:val="22"/>
          <w:lang w:val="en-US" w:eastAsia="en-GB"/>
        </w:rPr>
        <w:t xml:space="preserve">, for bond yield, 10-year bond yield in </w:t>
      </w:r>
      <w:r>
        <w:rPr>
          <w:rFonts w:ascii="Palatino Linotype" w:eastAsia="Times New Roman" w:hAnsi="Palatino Linotype"/>
          <w:bCs/>
          <w:color w:val="000000"/>
          <w:sz w:val="22"/>
          <w:szCs w:val="22"/>
          <w:lang w:val="en-US" w:eastAsia="en-GB"/>
        </w:rPr>
        <w:t>May</w:t>
      </w:r>
      <w:r w:rsidRPr="008977C1">
        <w:rPr>
          <w:rFonts w:ascii="Palatino Linotype" w:eastAsia="Times New Roman" w:hAnsi="Palatino Linotype"/>
          <w:bCs/>
          <w:color w:val="000000"/>
          <w:sz w:val="22"/>
          <w:szCs w:val="22"/>
          <w:lang w:val="en-US" w:eastAsia="en-GB"/>
        </w:rPr>
        <w:t xml:space="preserve"> 2021, a negative change</w:t>
      </w:r>
      <w:r>
        <w:rPr>
          <w:rFonts w:ascii="Palatino Linotype" w:eastAsia="Times New Roman" w:hAnsi="Palatino Linotype"/>
          <w:bCs/>
          <w:color w:val="000000"/>
          <w:sz w:val="22"/>
          <w:szCs w:val="22"/>
          <w:lang w:val="en-US" w:eastAsia="en-GB"/>
        </w:rPr>
        <w:t xml:space="preserve"> was observed</w:t>
      </w:r>
      <w:r w:rsidRPr="008977C1">
        <w:rPr>
          <w:rFonts w:ascii="Palatino Linotype" w:eastAsia="Times New Roman" w:hAnsi="Palatino Linotype"/>
          <w:bCs/>
          <w:color w:val="000000"/>
          <w:sz w:val="22"/>
          <w:szCs w:val="22"/>
          <w:lang w:val="en-US" w:eastAsia="en-GB"/>
        </w:rPr>
        <w:t xml:space="preserve"> for most developed and developing economies (Chart 3 &amp; 4).</w:t>
      </w:r>
    </w:p>
    <w:p w:rsidR="003F4581" w:rsidRPr="0066149F" w:rsidRDefault="003F4581" w:rsidP="003F4581">
      <w:pPr>
        <w:spacing w:line="23" w:lineRule="atLeast"/>
        <w:rPr>
          <w:rFonts w:ascii="Garamond" w:hAnsi="Garamond"/>
          <w:bCs/>
          <w:sz w:val="22"/>
          <w:szCs w:val="22"/>
        </w:rPr>
      </w:pPr>
    </w:p>
    <w:p w:rsidR="003F4581" w:rsidRPr="004C4151" w:rsidRDefault="003F4581" w:rsidP="003F4581">
      <w:pPr>
        <w:rPr>
          <w:rFonts w:ascii="Garamond" w:hAnsi="Garamond"/>
          <w:b/>
          <w:bCs/>
          <w:szCs w:val="22"/>
        </w:rPr>
      </w:pPr>
      <w:r w:rsidRPr="004C4151">
        <w:rPr>
          <w:rFonts w:ascii="Garamond" w:hAnsi="Garamond"/>
          <w:b/>
          <w:bCs/>
          <w:szCs w:val="22"/>
        </w:rPr>
        <w:t>Figure 3: Movement of 10-year Government Bond Yields in Developed Nations</w:t>
      </w:r>
    </w:p>
    <w:p w:rsidR="003F4581" w:rsidRPr="004C4151" w:rsidRDefault="003F4581" w:rsidP="003F4581">
      <w:pPr>
        <w:rPr>
          <w:rFonts w:ascii="Garamond" w:hAnsi="Garamond"/>
          <w:bCs/>
          <w:sz w:val="22"/>
          <w:szCs w:val="22"/>
        </w:rPr>
      </w:pPr>
    </w:p>
    <w:p w:rsidR="003F4581" w:rsidRPr="004C4151" w:rsidRDefault="003F4581" w:rsidP="003F4581">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extent cx="5513070" cy="2758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3070" cy="2758440"/>
                    </a:xfrm>
                    <a:prstGeom prst="rect">
                      <a:avLst/>
                    </a:prstGeom>
                    <a:noFill/>
                  </pic:spPr>
                </pic:pic>
              </a:graphicData>
            </a:graphic>
          </wp:inline>
        </w:drawing>
      </w:r>
    </w:p>
    <w:p w:rsidR="003F4581" w:rsidRPr="004C4151" w:rsidRDefault="003F4581" w:rsidP="003F4581">
      <w:pPr>
        <w:spacing w:line="23" w:lineRule="atLeast"/>
        <w:jc w:val="both"/>
        <w:outlineLvl w:val="0"/>
        <w:rPr>
          <w:rFonts w:ascii="Garamond" w:hAnsi="Garamond"/>
          <w:bCs/>
          <w:sz w:val="18"/>
          <w:szCs w:val="18"/>
        </w:rPr>
      </w:pPr>
      <w:r w:rsidRPr="004C4151">
        <w:rPr>
          <w:rFonts w:ascii="Garamond" w:hAnsi="Garamond"/>
          <w:bCs/>
          <w:sz w:val="18"/>
          <w:szCs w:val="18"/>
        </w:rPr>
        <w:t>Source: Refinitiv</w:t>
      </w:r>
    </w:p>
    <w:p w:rsidR="003F4581" w:rsidRPr="004C4151" w:rsidRDefault="003F4581" w:rsidP="003F4581">
      <w:pPr>
        <w:spacing w:line="23" w:lineRule="atLeast"/>
        <w:jc w:val="both"/>
        <w:outlineLvl w:val="0"/>
        <w:rPr>
          <w:rFonts w:ascii="Garamond" w:hAnsi="Garamond"/>
          <w:bCs/>
          <w:sz w:val="22"/>
          <w:szCs w:val="22"/>
        </w:rPr>
      </w:pPr>
    </w:p>
    <w:p w:rsidR="003F4581" w:rsidRDefault="003F4581" w:rsidP="003F4581">
      <w:pPr>
        <w:rPr>
          <w:rFonts w:ascii="Garamond" w:hAnsi="Garamond"/>
          <w:bCs/>
          <w:sz w:val="22"/>
          <w:szCs w:val="22"/>
        </w:rPr>
      </w:pPr>
    </w:p>
    <w:p w:rsidR="003F4581" w:rsidRDefault="003F4581" w:rsidP="003F4581">
      <w:pPr>
        <w:rPr>
          <w:rFonts w:ascii="Garamond" w:hAnsi="Garamond"/>
          <w:bCs/>
          <w:sz w:val="22"/>
          <w:szCs w:val="22"/>
        </w:rPr>
      </w:pPr>
    </w:p>
    <w:p w:rsidR="003F4581" w:rsidRPr="004C4151" w:rsidRDefault="003F4581" w:rsidP="003F4581">
      <w:pPr>
        <w:rPr>
          <w:rFonts w:ascii="Garamond" w:hAnsi="Garamond"/>
          <w:bCs/>
          <w:sz w:val="22"/>
          <w:szCs w:val="22"/>
        </w:rPr>
      </w:pPr>
    </w:p>
    <w:p w:rsidR="003F4581" w:rsidRPr="004C4151" w:rsidRDefault="003F4581" w:rsidP="003F4581">
      <w:pPr>
        <w:spacing w:line="23" w:lineRule="atLeast"/>
        <w:jc w:val="both"/>
        <w:outlineLvl w:val="0"/>
        <w:rPr>
          <w:rFonts w:ascii="Garamond" w:hAnsi="Garamond"/>
          <w:b/>
          <w:bCs/>
          <w:szCs w:val="22"/>
        </w:rPr>
      </w:pPr>
      <w:r w:rsidRPr="004C4151">
        <w:rPr>
          <w:rFonts w:ascii="Garamond" w:hAnsi="Garamond"/>
          <w:b/>
          <w:bCs/>
          <w:szCs w:val="22"/>
        </w:rPr>
        <w:t>Figure 4: Movement of 10-year Government Bond Yields in BRIC Nations</w:t>
      </w:r>
    </w:p>
    <w:p w:rsidR="003F4581" w:rsidRPr="004C4151" w:rsidRDefault="00E71941" w:rsidP="003F4581">
      <w:pPr>
        <w:spacing w:line="23" w:lineRule="atLeast"/>
        <w:jc w:val="both"/>
        <w:outlineLvl w:val="0"/>
        <w:rPr>
          <w:rFonts w:ascii="Garamond" w:hAnsi="Garamond"/>
          <w:bCs/>
          <w:sz w:val="22"/>
          <w:szCs w:val="22"/>
        </w:rPr>
      </w:pPr>
      <w:r>
        <w:rPr>
          <w:noProof/>
          <w:lang w:val="en-IN" w:eastAsia="en-IN" w:bidi="hi-IN"/>
        </w:rPr>
        <w:drawing>
          <wp:inline distT="0" distB="0" distL="0" distR="0">
            <wp:extent cx="6278880" cy="3145661"/>
            <wp:effectExtent l="0" t="0" r="7620" b="0"/>
            <wp:docPr id="4" name="Picture 4" descr="cid:image001.png@01D78D2A.60F2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78D2A.60F2B2A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278880" cy="3145661"/>
                    </a:xfrm>
                    <a:prstGeom prst="rect">
                      <a:avLst/>
                    </a:prstGeom>
                    <a:noFill/>
                    <a:ln>
                      <a:noFill/>
                    </a:ln>
                  </pic:spPr>
                </pic:pic>
              </a:graphicData>
            </a:graphic>
          </wp:inline>
        </w:drawing>
      </w:r>
    </w:p>
    <w:p w:rsidR="003F4581" w:rsidRPr="004C4151" w:rsidRDefault="003F4581" w:rsidP="003F4581">
      <w:pPr>
        <w:spacing w:line="23" w:lineRule="atLeast"/>
        <w:jc w:val="both"/>
        <w:outlineLvl w:val="0"/>
        <w:rPr>
          <w:rFonts w:ascii="Garamond" w:hAnsi="Garamond"/>
          <w:bCs/>
          <w:sz w:val="18"/>
          <w:szCs w:val="18"/>
        </w:rPr>
      </w:pPr>
      <w:r w:rsidRPr="004C4151">
        <w:rPr>
          <w:rFonts w:ascii="Garamond" w:hAnsi="Garamond"/>
          <w:bCs/>
          <w:sz w:val="18"/>
          <w:szCs w:val="18"/>
        </w:rPr>
        <w:t>Source: Refinitiv</w:t>
      </w:r>
    </w:p>
    <w:p w:rsidR="003F4581" w:rsidRPr="004C4151" w:rsidRDefault="003F4581" w:rsidP="003F4581">
      <w:pPr>
        <w:spacing w:line="23" w:lineRule="atLeast"/>
        <w:jc w:val="both"/>
        <w:rPr>
          <w:rFonts w:ascii="Garamond" w:eastAsia="Times New Roman" w:hAnsi="Garamond"/>
          <w:bCs/>
          <w:sz w:val="22"/>
          <w:szCs w:val="22"/>
          <w:lang w:val="en-US"/>
        </w:rPr>
      </w:pPr>
    </w:p>
    <w:p w:rsidR="003F4581" w:rsidRDefault="003F4581" w:rsidP="003F4581">
      <w:pPr>
        <w:spacing w:line="360" w:lineRule="auto"/>
        <w:jc w:val="both"/>
        <w:rPr>
          <w:rFonts w:ascii="Palatino Linotype" w:eastAsia="Times New Roman" w:hAnsi="Palatino Linotype"/>
          <w:b/>
          <w:sz w:val="22"/>
          <w:szCs w:val="22"/>
          <w:u w:val="single"/>
          <w:lang w:val="en-US"/>
        </w:rPr>
      </w:pPr>
    </w:p>
    <w:p w:rsidR="00E71941" w:rsidRDefault="00E71941" w:rsidP="003F4581">
      <w:pPr>
        <w:spacing w:line="360" w:lineRule="auto"/>
        <w:jc w:val="both"/>
        <w:rPr>
          <w:rFonts w:ascii="Palatino Linotype" w:eastAsia="Times New Roman" w:hAnsi="Palatino Linotype"/>
          <w:b/>
          <w:sz w:val="22"/>
          <w:szCs w:val="22"/>
          <w:u w:val="single"/>
          <w:lang w:val="en-US"/>
        </w:rPr>
      </w:pPr>
    </w:p>
    <w:p w:rsidR="003F4581" w:rsidRPr="006D42D9" w:rsidRDefault="003F4581" w:rsidP="003F4581">
      <w:pPr>
        <w:spacing w:line="360" w:lineRule="auto"/>
        <w:jc w:val="both"/>
        <w:rPr>
          <w:rFonts w:ascii="Palatino Linotype" w:eastAsia="Times New Roman" w:hAnsi="Palatino Linotype"/>
          <w:b/>
          <w:sz w:val="22"/>
          <w:szCs w:val="22"/>
          <w:lang w:val="en-US"/>
        </w:rPr>
      </w:pPr>
      <w:r w:rsidRPr="006D42D9">
        <w:rPr>
          <w:rFonts w:ascii="Palatino Linotype" w:eastAsia="Times New Roman" w:hAnsi="Palatino Linotype"/>
          <w:b/>
          <w:sz w:val="22"/>
          <w:szCs w:val="22"/>
          <w:u w:val="single"/>
          <w:lang w:val="en-US"/>
        </w:rPr>
        <w:lastRenderedPageBreak/>
        <w:t>Fund Mobilisation by Issuance of Equity and Bonds (Table A2)</w:t>
      </w:r>
      <w:r w:rsidRPr="006D42D9">
        <w:rPr>
          <w:rFonts w:ascii="Palatino Linotype" w:eastAsia="Times New Roman" w:hAnsi="Palatino Linotype"/>
          <w:b/>
          <w:sz w:val="22"/>
          <w:szCs w:val="22"/>
          <w:lang w:val="en-US"/>
        </w:rPr>
        <w:t xml:space="preserve"> – </w:t>
      </w:r>
    </w:p>
    <w:p w:rsidR="003F4581" w:rsidRPr="002513F9" w:rsidRDefault="003F4581" w:rsidP="003F4581">
      <w:pPr>
        <w:numPr>
          <w:ilvl w:val="0"/>
          <w:numId w:val="8"/>
        </w:numPr>
        <w:spacing w:line="276" w:lineRule="auto"/>
        <w:jc w:val="both"/>
        <w:rPr>
          <w:rFonts w:ascii="Palatino Linotype" w:eastAsia="Times New Roman" w:hAnsi="Palatino Linotype"/>
          <w:bCs/>
          <w:sz w:val="22"/>
          <w:szCs w:val="22"/>
          <w:lang w:val="en-US" w:eastAsia="en-GB"/>
        </w:rPr>
      </w:pPr>
      <w:r w:rsidRPr="002513F9">
        <w:rPr>
          <w:rFonts w:ascii="Palatino Linotype" w:eastAsia="Times New Roman" w:hAnsi="Palatino Linotype"/>
          <w:bCs/>
          <w:sz w:val="22"/>
          <w:szCs w:val="22"/>
          <w:lang w:val="en-US" w:eastAsia="en-GB"/>
        </w:rPr>
        <w:t xml:space="preserve">There </w:t>
      </w:r>
      <w:r w:rsidRPr="00875571">
        <w:rPr>
          <w:rFonts w:ascii="Palatino Linotype" w:eastAsia="Times New Roman" w:hAnsi="Palatino Linotype"/>
          <w:bCs/>
          <w:sz w:val="22"/>
          <w:szCs w:val="22"/>
          <w:lang w:val="en-US" w:eastAsia="en-GB"/>
        </w:rPr>
        <w:t>was 6.1 per cent decrease in the fund mobilization at the selected analyzed exchanges world-wide during April 2021 (at 468,934 million USD) against previous month (at 499,345</w:t>
      </w:r>
      <w:r w:rsidRPr="0040379E">
        <w:rPr>
          <w:rFonts w:ascii="Palatino Linotype" w:eastAsia="Times New Roman" w:hAnsi="Palatino Linotype"/>
          <w:bCs/>
          <w:sz w:val="22"/>
          <w:szCs w:val="22"/>
          <w:lang w:val="en-US" w:eastAsia="en-GB"/>
        </w:rPr>
        <w:t xml:space="preserve"> </w:t>
      </w:r>
      <w:r w:rsidRPr="002513F9">
        <w:rPr>
          <w:rFonts w:ascii="Palatino Linotype" w:eastAsia="Times New Roman" w:hAnsi="Palatino Linotype"/>
          <w:bCs/>
          <w:sz w:val="22"/>
          <w:szCs w:val="22"/>
          <w:lang w:val="en-US" w:eastAsia="en-GB"/>
        </w:rPr>
        <w:t xml:space="preserve">million USD). Only </w:t>
      </w:r>
      <w:r w:rsidRPr="001B6727">
        <w:rPr>
          <w:rFonts w:ascii="Palatino Linotype" w:eastAsia="Times New Roman" w:hAnsi="Palatino Linotype"/>
          <w:bCs/>
          <w:sz w:val="22"/>
          <w:szCs w:val="22"/>
          <w:lang w:val="en-US" w:eastAsia="en-GB"/>
        </w:rPr>
        <w:t>14.5 p</w:t>
      </w:r>
      <w:r w:rsidRPr="002513F9">
        <w:rPr>
          <w:rFonts w:ascii="Palatino Linotype" w:eastAsia="Times New Roman" w:hAnsi="Palatino Linotype"/>
          <w:bCs/>
          <w:sz w:val="22"/>
          <w:szCs w:val="22"/>
          <w:lang w:val="en-US" w:eastAsia="en-GB"/>
        </w:rPr>
        <w:t xml:space="preserve">er cent of the total fund mobilization in </w:t>
      </w:r>
      <w:r>
        <w:rPr>
          <w:rFonts w:ascii="Palatino Linotype" w:eastAsia="Times New Roman" w:hAnsi="Palatino Linotype"/>
          <w:bCs/>
          <w:color w:val="000000"/>
          <w:sz w:val="22"/>
          <w:szCs w:val="22"/>
          <w:lang w:val="en-US" w:eastAsia="en-GB"/>
        </w:rPr>
        <w:t>April</w:t>
      </w:r>
      <w:r w:rsidRPr="002513F9">
        <w:rPr>
          <w:rFonts w:ascii="Palatino Linotype" w:eastAsia="Times New Roman" w:hAnsi="Palatino Linotype"/>
          <w:bCs/>
          <w:color w:val="000000"/>
          <w:sz w:val="22"/>
          <w:szCs w:val="22"/>
          <w:lang w:val="en-US" w:eastAsia="en-GB"/>
        </w:rPr>
        <w:t xml:space="preserve"> 2021 </w:t>
      </w:r>
      <w:r w:rsidRPr="002513F9">
        <w:rPr>
          <w:rFonts w:ascii="Palatino Linotype" w:eastAsia="Times New Roman" w:hAnsi="Palatino Linotype"/>
          <w:bCs/>
          <w:sz w:val="22"/>
          <w:szCs w:val="22"/>
          <w:lang w:val="en-US" w:eastAsia="en-GB"/>
        </w:rPr>
        <w:t>was in equity and remaining was in debt.</w:t>
      </w:r>
    </w:p>
    <w:p w:rsidR="003F4581" w:rsidRPr="002513F9" w:rsidRDefault="003F4581" w:rsidP="003F4581">
      <w:pPr>
        <w:numPr>
          <w:ilvl w:val="0"/>
          <w:numId w:val="8"/>
        </w:numPr>
        <w:spacing w:line="276" w:lineRule="auto"/>
        <w:jc w:val="both"/>
        <w:rPr>
          <w:rFonts w:ascii="Palatino Linotype" w:eastAsia="Times New Roman" w:hAnsi="Palatino Linotype"/>
          <w:bCs/>
          <w:sz w:val="22"/>
          <w:szCs w:val="22"/>
          <w:lang w:val="en-US" w:eastAsia="en-GB"/>
        </w:rPr>
      </w:pPr>
      <w:r w:rsidRPr="002513F9">
        <w:rPr>
          <w:rFonts w:ascii="Palatino Linotype" w:eastAsia="Times New Roman" w:hAnsi="Palatino Linotype"/>
          <w:bCs/>
          <w:sz w:val="22"/>
          <w:szCs w:val="22"/>
          <w:lang w:val="en-US" w:eastAsia="en-GB"/>
        </w:rPr>
        <w:t>As per the data available on World Federation of Exchanges (WFE)</w:t>
      </w:r>
      <w:r w:rsidRPr="002513F9">
        <w:rPr>
          <w:rFonts w:ascii="Palatino Linotype" w:eastAsia="Times New Roman" w:hAnsi="Palatino Linotype"/>
          <w:bCs/>
          <w:sz w:val="22"/>
          <w:szCs w:val="22"/>
          <w:vertAlign w:val="superscript"/>
          <w:lang w:val="en-US" w:eastAsia="en-GB"/>
        </w:rPr>
        <w:footnoteReference w:id="6"/>
      </w:r>
      <w:r w:rsidRPr="002513F9">
        <w:rPr>
          <w:rFonts w:ascii="Palatino Linotype" w:eastAsia="Times New Roman" w:hAnsi="Palatino Linotype"/>
          <w:bCs/>
          <w:sz w:val="22"/>
          <w:szCs w:val="22"/>
          <w:lang w:val="en-US" w:eastAsia="en-GB"/>
        </w:rPr>
        <w:t xml:space="preserve">, highest amount mobilized through equities and bonds in </w:t>
      </w:r>
      <w:r>
        <w:rPr>
          <w:rFonts w:ascii="Palatino Linotype" w:eastAsia="Times New Roman" w:hAnsi="Palatino Linotype"/>
          <w:bCs/>
          <w:sz w:val="22"/>
          <w:szCs w:val="22"/>
          <w:lang w:val="en-US" w:eastAsia="en-GB"/>
        </w:rPr>
        <w:t>April</w:t>
      </w:r>
      <w:r w:rsidRPr="002513F9">
        <w:rPr>
          <w:rFonts w:ascii="Palatino Linotype" w:eastAsia="Times New Roman" w:hAnsi="Palatino Linotype"/>
          <w:bCs/>
          <w:sz w:val="22"/>
          <w:szCs w:val="22"/>
          <w:lang w:val="en-US" w:eastAsia="en-GB"/>
        </w:rPr>
        <w:t xml:space="preserve"> 2021 was at Shanghai Stock Exchange (</w:t>
      </w:r>
      <w:r w:rsidRPr="00343537">
        <w:rPr>
          <w:rFonts w:ascii="Palatino Linotype" w:eastAsia="Times New Roman" w:hAnsi="Palatino Linotype"/>
          <w:bCs/>
          <w:sz w:val="22"/>
          <w:szCs w:val="22"/>
          <w:lang w:val="en-US" w:eastAsia="en-GB"/>
        </w:rPr>
        <w:t xml:space="preserve">75,124 </w:t>
      </w:r>
      <w:r w:rsidRPr="002513F9">
        <w:rPr>
          <w:rFonts w:ascii="Palatino Linotype" w:eastAsia="Times New Roman" w:hAnsi="Palatino Linotype"/>
          <w:bCs/>
          <w:sz w:val="22"/>
          <w:szCs w:val="22"/>
          <w:lang w:val="en-US" w:eastAsia="en-GB"/>
        </w:rPr>
        <w:t>million USD) followed by</w:t>
      </w:r>
      <w:r w:rsidRPr="002513F9">
        <w:rPr>
          <w:rFonts w:ascii="Palatino Linotype" w:hAnsi="Palatino Linotype"/>
          <w:sz w:val="22"/>
          <w:szCs w:val="22"/>
        </w:rPr>
        <w:t xml:space="preserve"> </w:t>
      </w:r>
      <w:r w:rsidRPr="002513F9">
        <w:rPr>
          <w:rFonts w:ascii="Palatino Linotype" w:eastAsia="Times New Roman" w:hAnsi="Palatino Linotype"/>
          <w:bCs/>
          <w:sz w:val="22"/>
          <w:szCs w:val="22"/>
          <w:lang w:val="en-US" w:eastAsia="en-GB"/>
        </w:rPr>
        <w:t>Korea Exchange</w:t>
      </w:r>
      <w:r w:rsidRPr="002513F9">
        <w:rPr>
          <w:rFonts w:ascii="Palatino Linotype" w:hAnsi="Palatino Linotype"/>
          <w:sz w:val="22"/>
          <w:szCs w:val="22"/>
        </w:rPr>
        <w:t xml:space="preserve"> </w:t>
      </w:r>
      <w:r w:rsidRPr="002513F9">
        <w:rPr>
          <w:rFonts w:ascii="Palatino Linotype" w:eastAsia="Times New Roman" w:hAnsi="Palatino Linotype"/>
          <w:bCs/>
          <w:sz w:val="22"/>
          <w:szCs w:val="22"/>
          <w:lang w:val="en-US" w:eastAsia="en-GB"/>
        </w:rPr>
        <w:t>(</w:t>
      </w:r>
      <w:r w:rsidRPr="00343537">
        <w:rPr>
          <w:rFonts w:ascii="Palatino Linotype" w:eastAsia="Times New Roman" w:hAnsi="Palatino Linotype"/>
          <w:bCs/>
          <w:sz w:val="22"/>
          <w:szCs w:val="22"/>
          <w:lang w:val="en-US" w:eastAsia="en-GB"/>
        </w:rPr>
        <w:t xml:space="preserve">69,026 </w:t>
      </w:r>
      <w:r w:rsidRPr="002513F9">
        <w:rPr>
          <w:rFonts w:ascii="Palatino Linotype" w:eastAsia="Times New Roman" w:hAnsi="Palatino Linotype"/>
          <w:bCs/>
          <w:sz w:val="22"/>
          <w:szCs w:val="22"/>
          <w:lang w:val="en-US" w:eastAsia="en-GB"/>
        </w:rPr>
        <w:t xml:space="preserve">million USD) and </w:t>
      </w:r>
      <w:r w:rsidRPr="001B6727">
        <w:rPr>
          <w:rFonts w:ascii="Palatino Linotype" w:eastAsia="Times New Roman" w:hAnsi="Palatino Linotype"/>
          <w:bCs/>
          <w:sz w:val="22"/>
          <w:szCs w:val="22"/>
          <w:lang w:val="en-US" w:eastAsia="en-GB"/>
        </w:rPr>
        <w:t>LSE Group London Stock Exchange</w:t>
      </w:r>
      <w:r w:rsidRPr="00343537">
        <w:rPr>
          <w:rFonts w:ascii="Palatino Linotype" w:eastAsia="Times New Roman" w:hAnsi="Palatino Linotype"/>
          <w:bCs/>
          <w:sz w:val="22"/>
          <w:szCs w:val="22"/>
          <w:lang w:val="en-US" w:eastAsia="en-GB"/>
        </w:rPr>
        <w:t xml:space="preserve"> </w:t>
      </w:r>
      <w:r w:rsidRPr="002513F9">
        <w:rPr>
          <w:rFonts w:ascii="Palatino Linotype" w:eastAsia="Times New Roman" w:hAnsi="Palatino Linotype"/>
          <w:bCs/>
          <w:sz w:val="22"/>
          <w:szCs w:val="22"/>
          <w:lang w:val="en-US" w:eastAsia="en-GB"/>
        </w:rPr>
        <w:t>(</w:t>
      </w:r>
      <w:r w:rsidRPr="001B6727">
        <w:rPr>
          <w:rFonts w:ascii="Palatino Linotype" w:eastAsia="Times New Roman" w:hAnsi="Palatino Linotype"/>
          <w:bCs/>
          <w:sz w:val="22"/>
          <w:szCs w:val="22"/>
          <w:lang w:val="en-US" w:eastAsia="en-GB"/>
        </w:rPr>
        <w:t xml:space="preserve">62,394 </w:t>
      </w:r>
      <w:r w:rsidRPr="002513F9">
        <w:rPr>
          <w:rFonts w:ascii="Palatino Linotype" w:eastAsia="Times New Roman" w:hAnsi="Palatino Linotype"/>
          <w:bCs/>
          <w:sz w:val="22"/>
          <w:szCs w:val="22"/>
          <w:lang w:val="en-US" w:eastAsia="en-GB"/>
        </w:rPr>
        <w:t xml:space="preserve">million USD). </w:t>
      </w:r>
    </w:p>
    <w:p w:rsidR="003F4581" w:rsidRPr="002513F9" w:rsidRDefault="003F4581" w:rsidP="003F4581">
      <w:pPr>
        <w:numPr>
          <w:ilvl w:val="0"/>
          <w:numId w:val="8"/>
        </w:numPr>
        <w:spacing w:line="276" w:lineRule="auto"/>
        <w:jc w:val="both"/>
        <w:rPr>
          <w:rFonts w:ascii="Palatino Linotype" w:eastAsia="Times New Roman" w:hAnsi="Palatino Linotype"/>
          <w:bCs/>
          <w:sz w:val="22"/>
          <w:szCs w:val="22"/>
          <w:lang w:val="en-US" w:eastAsia="en-GB"/>
        </w:rPr>
      </w:pPr>
      <w:r w:rsidRPr="002513F9">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April</w:t>
      </w:r>
      <w:r w:rsidRPr="002513F9">
        <w:rPr>
          <w:rFonts w:ascii="Palatino Linotype" w:eastAsia="Times New Roman" w:hAnsi="Palatino Linotype"/>
          <w:bCs/>
          <w:sz w:val="22"/>
          <w:szCs w:val="22"/>
          <w:lang w:val="en-US" w:eastAsia="en-GB"/>
        </w:rPr>
        <w:t xml:space="preserve"> 2021, at Shanghai Stock Exchange, only </w:t>
      </w:r>
      <w:r w:rsidRPr="00C67BE7">
        <w:rPr>
          <w:rFonts w:ascii="Palatino Linotype" w:eastAsia="Times New Roman" w:hAnsi="Palatino Linotype"/>
          <w:bCs/>
          <w:sz w:val="22"/>
          <w:szCs w:val="22"/>
          <w:lang w:val="en-US" w:eastAsia="en-GB"/>
        </w:rPr>
        <w:t xml:space="preserve">7,217 </w:t>
      </w:r>
      <w:r w:rsidRPr="002513F9">
        <w:rPr>
          <w:rFonts w:ascii="Palatino Linotype" w:eastAsia="Times New Roman" w:hAnsi="Palatino Linotype"/>
          <w:bCs/>
          <w:sz w:val="22"/>
          <w:szCs w:val="22"/>
          <w:lang w:val="en-US" w:eastAsia="en-GB"/>
        </w:rPr>
        <w:t xml:space="preserve">million USD were raised through equity and the remaining amount was raised through bonds whereas fund mobilization through equity was </w:t>
      </w:r>
      <w:r w:rsidRPr="00C67BE7">
        <w:rPr>
          <w:rFonts w:ascii="Palatino Linotype" w:eastAsia="Times New Roman" w:hAnsi="Palatino Linotype"/>
          <w:bCs/>
          <w:sz w:val="22"/>
          <w:szCs w:val="22"/>
          <w:lang w:val="en-US" w:eastAsia="en-GB"/>
        </w:rPr>
        <w:t xml:space="preserve">113 </w:t>
      </w:r>
      <w:r w:rsidRPr="002513F9">
        <w:rPr>
          <w:rFonts w:ascii="Palatino Linotype" w:eastAsia="Times New Roman" w:hAnsi="Palatino Linotype"/>
          <w:bCs/>
          <w:sz w:val="22"/>
          <w:szCs w:val="22"/>
          <w:lang w:val="en-US" w:eastAsia="en-GB"/>
        </w:rPr>
        <w:t xml:space="preserve">million USD and </w:t>
      </w:r>
      <w:r w:rsidRPr="00F50366">
        <w:rPr>
          <w:rFonts w:ascii="Palatino Linotype" w:eastAsia="Times New Roman" w:hAnsi="Palatino Linotype"/>
          <w:bCs/>
          <w:sz w:val="22"/>
          <w:szCs w:val="22"/>
          <w:lang w:val="en-US" w:eastAsia="en-GB"/>
        </w:rPr>
        <w:t xml:space="preserve">4,179 </w:t>
      </w:r>
      <w:r w:rsidRPr="002513F9">
        <w:rPr>
          <w:rFonts w:ascii="Palatino Linotype" w:eastAsia="Times New Roman" w:hAnsi="Palatino Linotype"/>
          <w:bCs/>
          <w:sz w:val="22"/>
          <w:szCs w:val="22"/>
          <w:lang w:val="en-US" w:eastAsia="en-GB"/>
        </w:rPr>
        <w:t xml:space="preserve">million USD respectively at </w:t>
      </w:r>
      <w:r w:rsidRPr="002513F9">
        <w:rPr>
          <w:rFonts w:ascii="Palatino Linotype" w:hAnsi="Palatino Linotype"/>
          <w:sz w:val="22"/>
          <w:szCs w:val="22"/>
        </w:rPr>
        <w:t>Korea Exchange</w:t>
      </w:r>
      <w:r w:rsidRPr="002513F9">
        <w:rPr>
          <w:rFonts w:ascii="Palatino Linotype" w:eastAsia="Times New Roman" w:hAnsi="Palatino Linotype"/>
          <w:bCs/>
          <w:sz w:val="22"/>
          <w:szCs w:val="22"/>
          <w:lang w:val="en-US" w:eastAsia="en-GB"/>
        </w:rPr>
        <w:t xml:space="preserve"> and</w:t>
      </w:r>
      <w:r>
        <w:rPr>
          <w:rFonts w:ascii="Palatino Linotype" w:eastAsia="Times New Roman" w:hAnsi="Palatino Linotype"/>
          <w:bCs/>
          <w:sz w:val="22"/>
          <w:szCs w:val="22"/>
          <w:lang w:val="en-US" w:eastAsia="en-GB"/>
        </w:rPr>
        <w:t xml:space="preserve"> </w:t>
      </w:r>
      <w:r w:rsidRPr="00F50366">
        <w:rPr>
          <w:rFonts w:ascii="Palatino Linotype" w:eastAsia="Times New Roman" w:hAnsi="Palatino Linotype"/>
          <w:bCs/>
          <w:sz w:val="22"/>
          <w:szCs w:val="22"/>
          <w:lang w:val="en-US" w:eastAsia="en-GB"/>
        </w:rPr>
        <w:t>LSE Group London Stock Exchange</w:t>
      </w:r>
      <w:r w:rsidRPr="002513F9">
        <w:rPr>
          <w:rFonts w:ascii="Palatino Linotype" w:hAnsi="Palatino Linotype"/>
          <w:sz w:val="22"/>
          <w:szCs w:val="22"/>
        </w:rPr>
        <w:t>.</w:t>
      </w:r>
    </w:p>
    <w:p w:rsidR="003F4581" w:rsidRPr="006D42D9" w:rsidRDefault="003F4581" w:rsidP="003F4581">
      <w:pPr>
        <w:numPr>
          <w:ilvl w:val="0"/>
          <w:numId w:val="8"/>
        </w:numPr>
        <w:spacing w:line="276" w:lineRule="auto"/>
        <w:jc w:val="both"/>
        <w:rPr>
          <w:rFonts w:ascii="Palatino Linotype" w:eastAsia="Times New Roman" w:hAnsi="Palatino Linotype"/>
          <w:bCs/>
          <w:sz w:val="22"/>
          <w:szCs w:val="22"/>
          <w:lang w:val="en-US" w:eastAsia="en-GB"/>
        </w:rPr>
      </w:pPr>
      <w:r w:rsidRPr="002513F9">
        <w:rPr>
          <w:rFonts w:ascii="Palatino Linotype" w:eastAsia="Times New Roman" w:hAnsi="Palatino Linotype"/>
          <w:bCs/>
          <w:sz w:val="22"/>
          <w:szCs w:val="22"/>
          <w:lang w:val="en-US" w:eastAsia="en-GB"/>
        </w:rPr>
        <w:t xml:space="preserve">Maximum fund mobilization through equities in </w:t>
      </w:r>
      <w:r>
        <w:rPr>
          <w:rFonts w:ascii="Palatino Linotype" w:eastAsia="Times New Roman" w:hAnsi="Palatino Linotype"/>
          <w:bCs/>
          <w:sz w:val="22"/>
          <w:szCs w:val="22"/>
          <w:lang w:val="en-US" w:eastAsia="en-GB"/>
        </w:rPr>
        <w:t>April</w:t>
      </w:r>
      <w:r w:rsidRPr="002513F9">
        <w:rPr>
          <w:rFonts w:ascii="Palatino Linotype" w:eastAsia="Times New Roman" w:hAnsi="Palatino Linotype"/>
          <w:bCs/>
          <w:sz w:val="22"/>
          <w:szCs w:val="22"/>
          <w:lang w:val="en-US" w:eastAsia="en-GB"/>
        </w:rPr>
        <w:t xml:space="preserve"> 2021 was at </w:t>
      </w:r>
      <w:r w:rsidRPr="00606F3B">
        <w:rPr>
          <w:rFonts w:ascii="Palatino Linotype" w:eastAsia="Times New Roman" w:hAnsi="Palatino Linotype"/>
          <w:bCs/>
          <w:sz w:val="22"/>
          <w:szCs w:val="22"/>
          <w:lang w:val="en-US" w:eastAsia="en-GB"/>
        </w:rPr>
        <w:t>Hong Kong Exchanges and Clearing</w:t>
      </w:r>
      <w:r w:rsidRPr="002513F9">
        <w:rPr>
          <w:rFonts w:ascii="Palatino Linotype" w:eastAsia="Times New Roman" w:hAnsi="Palatino Linotype"/>
          <w:bCs/>
          <w:sz w:val="22"/>
          <w:szCs w:val="22"/>
          <w:lang w:val="en-US" w:eastAsia="en-GB"/>
        </w:rPr>
        <w:t xml:space="preserve"> (</w:t>
      </w:r>
      <w:r w:rsidRPr="00606F3B">
        <w:rPr>
          <w:rFonts w:ascii="Palatino Linotype" w:eastAsia="Times New Roman" w:hAnsi="Palatino Linotype"/>
          <w:bCs/>
          <w:sz w:val="22"/>
          <w:szCs w:val="22"/>
          <w:lang w:val="en-US" w:eastAsia="en-GB"/>
        </w:rPr>
        <w:t xml:space="preserve">12,614 </w:t>
      </w:r>
      <w:r w:rsidRPr="002513F9">
        <w:rPr>
          <w:rFonts w:ascii="Palatino Linotype" w:eastAsia="Times New Roman" w:hAnsi="Palatino Linotype"/>
          <w:bCs/>
          <w:sz w:val="22"/>
          <w:szCs w:val="22"/>
          <w:lang w:val="en-US" w:eastAsia="en-GB"/>
        </w:rPr>
        <w:t>million USD) followed by</w:t>
      </w:r>
      <w:r w:rsidRPr="002513F9">
        <w:t xml:space="preserve"> </w:t>
      </w:r>
      <w:r w:rsidRPr="00606F3B">
        <w:rPr>
          <w:rFonts w:ascii="Palatino Linotype" w:eastAsia="Times New Roman" w:hAnsi="Palatino Linotype"/>
          <w:bCs/>
          <w:sz w:val="22"/>
          <w:szCs w:val="22"/>
          <w:lang w:val="en-US" w:eastAsia="en-GB"/>
        </w:rPr>
        <w:t>BME Spanish Exchanges</w:t>
      </w:r>
      <w:r w:rsidRPr="002513F9">
        <w:rPr>
          <w:rFonts w:ascii="Palatino Linotype" w:eastAsia="Times New Roman" w:hAnsi="Palatino Linotype"/>
          <w:bCs/>
          <w:sz w:val="22"/>
          <w:szCs w:val="22"/>
          <w:lang w:val="en-US" w:eastAsia="en-GB"/>
        </w:rPr>
        <w:t xml:space="preserve"> (</w:t>
      </w:r>
      <w:r w:rsidRPr="00606F3B">
        <w:rPr>
          <w:rFonts w:ascii="Palatino Linotype" w:eastAsia="Times New Roman" w:hAnsi="Palatino Linotype"/>
          <w:bCs/>
          <w:sz w:val="22"/>
          <w:szCs w:val="22"/>
          <w:lang w:val="en-US" w:eastAsia="en-GB"/>
        </w:rPr>
        <w:t xml:space="preserve">10,870 </w:t>
      </w:r>
      <w:r w:rsidRPr="002513F9">
        <w:rPr>
          <w:rFonts w:ascii="Palatino Linotype" w:eastAsia="Times New Roman" w:hAnsi="Palatino Linotype"/>
          <w:bCs/>
          <w:sz w:val="22"/>
          <w:szCs w:val="22"/>
          <w:lang w:val="en-US" w:eastAsia="en-GB"/>
        </w:rPr>
        <w:t xml:space="preserve">million USD).   </w:t>
      </w:r>
    </w:p>
    <w:p w:rsidR="003F4581" w:rsidRPr="006D42D9" w:rsidRDefault="003F4581" w:rsidP="003F4581">
      <w:pPr>
        <w:spacing w:line="276" w:lineRule="auto"/>
        <w:jc w:val="both"/>
        <w:rPr>
          <w:rFonts w:ascii="Palatino Linotype" w:eastAsia="Times New Roman" w:hAnsi="Palatino Linotype"/>
          <w:bCs/>
          <w:sz w:val="22"/>
          <w:szCs w:val="22"/>
          <w:lang w:val="en-US"/>
        </w:rPr>
      </w:pPr>
    </w:p>
    <w:p w:rsidR="003F4581" w:rsidRPr="006D42D9" w:rsidRDefault="003F4581" w:rsidP="003F4581">
      <w:pPr>
        <w:spacing w:line="276" w:lineRule="auto"/>
        <w:ind w:left="284"/>
        <w:jc w:val="both"/>
        <w:rPr>
          <w:rFonts w:ascii="Palatino Linotype" w:eastAsia="Times New Roman" w:hAnsi="Palatino Linotype"/>
          <w:b/>
          <w:sz w:val="22"/>
          <w:szCs w:val="22"/>
          <w:lang w:val="en-US"/>
        </w:rPr>
      </w:pPr>
      <w:r w:rsidRPr="006D42D9">
        <w:rPr>
          <w:rFonts w:ascii="Palatino Linotype" w:eastAsia="Times New Roman" w:hAnsi="Palatino Linotype"/>
          <w:b/>
          <w:sz w:val="22"/>
          <w:szCs w:val="22"/>
          <w:u w:val="single"/>
          <w:lang w:val="en-US"/>
        </w:rPr>
        <w:t>Market Capitalisation of Major</w:t>
      </w:r>
      <w:r w:rsidRPr="006D42D9">
        <w:rPr>
          <w:rFonts w:ascii="Palatino Linotype" w:eastAsia="Times New Roman" w:hAnsi="Palatino Linotype"/>
          <w:b/>
          <w:sz w:val="22"/>
          <w:szCs w:val="22"/>
          <w:lang w:val="en-US"/>
        </w:rPr>
        <w:t xml:space="preserve"> Exchanges (Table A3) –</w:t>
      </w:r>
    </w:p>
    <w:p w:rsidR="003F4581" w:rsidRPr="00E83251" w:rsidRDefault="003F4581" w:rsidP="003F4581">
      <w:pPr>
        <w:spacing w:line="276" w:lineRule="auto"/>
        <w:ind w:left="360"/>
        <w:contextualSpacing/>
        <w:jc w:val="both"/>
        <w:rPr>
          <w:rFonts w:ascii="Palatino Linotype" w:eastAsia="Times New Roman" w:hAnsi="Palatino Linotype"/>
          <w:b/>
          <w:sz w:val="22"/>
          <w:szCs w:val="22"/>
          <w:lang w:val="en-US" w:eastAsia="en-GB"/>
        </w:rPr>
      </w:pPr>
    </w:p>
    <w:p w:rsidR="003F4581" w:rsidRPr="00E83251" w:rsidRDefault="003F4581" w:rsidP="003F4581">
      <w:pPr>
        <w:numPr>
          <w:ilvl w:val="0"/>
          <w:numId w:val="8"/>
        </w:numPr>
        <w:spacing w:line="276" w:lineRule="auto"/>
        <w:ind w:left="357" w:hanging="357"/>
        <w:jc w:val="both"/>
        <w:rPr>
          <w:rFonts w:ascii="Palatino Linotype" w:eastAsia="Times New Roman" w:hAnsi="Palatino Linotype"/>
          <w:bCs/>
          <w:sz w:val="22"/>
          <w:szCs w:val="22"/>
          <w:lang w:val="en-US" w:eastAsia="en-GB"/>
        </w:rPr>
      </w:pPr>
      <w:r w:rsidRPr="00E83251">
        <w:rPr>
          <w:rFonts w:ascii="Palatino Linotype" w:eastAsia="Times New Roman" w:hAnsi="Palatino Linotype"/>
          <w:bCs/>
          <w:sz w:val="22"/>
          <w:szCs w:val="22"/>
          <w:lang w:val="en-US" w:eastAsia="en-GB"/>
        </w:rPr>
        <w:t>Most of the analysed exchanges of selected markets</w:t>
      </w:r>
      <w:r w:rsidRPr="00E83251">
        <w:rPr>
          <w:rFonts w:ascii="Palatino Linotype" w:eastAsia="Times New Roman" w:hAnsi="Palatino Linotype"/>
          <w:bCs/>
          <w:sz w:val="22"/>
          <w:szCs w:val="22"/>
          <w:vertAlign w:val="superscript"/>
          <w:lang w:val="en-US" w:eastAsia="en-GB"/>
        </w:rPr>
        <w:footnoteReference w:id="7"/>
      </w:r>
      <w:r w:rsidRPr="00E83251">
        <w:rPr>
          <w:rFonts w:ascii="Palatino Linotype" w:eastAsia="Times New Roman" w:hAnsi="Palatino Linotype"/>
          <w:bCs/>
          <w:sz w:val="22"/>
          <w:szCs w:val="22"/>
          <w:lang w:val="en-US" w:eastAsia="en-GB"/>
        </w:rPr>
        <w:t xml:space="preserve">, reflected a rise in market capitalization in the month of </w:t>
      </w:r>
      <w:r>
        <w:rPr>
          <w:rFonts w:ascii="Palatino Linotype" w:eastAsia="Times New Roman" w:hAnsi="Palatino Linotype"/>
          <w:bCs/>
          <w:sz w:val="22"/>
          <w:szCs w:val="22"/>
          <w:lang w:val="en-US" w:eastAsia="en-GB"/>
        </w:rPr>
        <w:t>April</w:t>
      </w:r>
      <w:r w:rsidRPr="00E83251">
        <w:rPr>
          <w:rFonts w:ascii="Palatino Linotype" w:eastAsia="Times New Roman" w:hAnsi="Palatino Linotype"/>
          <w:bCs/>
          <w:sz w:val="22"/>
          <w:szCs w:val="22"/>
          <w:lang w:val="en-US" w:eastAsia="en-GB"/>
        </w:rPr>
        <w:t xml:space="preserve"> 2021 as compared to previous month.</w:t>
      </w:r>
    </w:p>
    <w:p w:rsidR="003F4581" w:rsidRPr="008E32D2" w:rsidRDefault="003F4581" w:rsidP="003F4581">
      <w:pPr>
        <w:numPr>
          <w:ilvl w:val="0"/>
          <w:numId w:val="8"/>
        </w:numPr>
        <w:spacing w:line="276" w:lineRule="auto"/>
        <w:contextualSpacing/>
        <w:jc w:val="both"/>
        <w:rPr>
          <w:rFonts w:ascii="Palatino Linotype" w:eastAsia="Times New Roman" w:hAnsi="Palatino Linotype"/>
          <w:b/>
          <w:sz w:val="22"/>
          <w:szCs w:val="22"/>
          <w:u w:val="single"/>
          <w:lang w:val="en-US"/>
        </w:rPr>
      </w:pPr>
      <w:r w:rsidRPr="008E32D2">
        <w:rPr>
          <w:rFonts w:ascii="Palatino Linotype" w:eastAsia="Times New Roman" w:hAnsi="Palatino Linotype"/>
          <w:bCs/>
          <w:sz w:val="22"/>
          <w:szCs w:val="22"/>
          <w:lang w:val="en-US" w:eastAsia="en-GB"/>
        </w:rPr>
        <w:t>Among the exchanges which registered highest increase in market capitalization were B3 - Brasil Bolsa Balcão, Nasdaq - US, and Shenzhen Stock Exchange (6.8, 6.1 and 5.9 per cent respectively).</w:t>
      </w:r>
      <w:r>
        <w:rPr>
          <w:rFonts w:ascii="Palatino Linotype" w:eastAsia="Times New Roman" w:hAnsi="Palatino Linotype"/>
          <w:bCs/>
          <w:sz w:val="22"/>
          <w:szCs w:val="22"/>
          <w:lang w:val="en-US" w:eastAsia="en-GB"/>
        </w:rPr>
        <w:t xml:space="preserve"> </w:t>
      </w:r>
      <w:r w:rsidRPr="008E32D2">
        <w:rPr>
          <w:rFonts w:ascii="Palatino Linotype" w:eastAsia="Times New Roman" w:hAnsi="Palatino Linotype"/>
          <w:bCs/>
          <w:sz w:val="22"/>
          <w:szCs w:val="22"/>
          <w:lang w:val="en-US" w:eastAsia="en-GB"/>
        </w:rPr>
        <w:t xml:space="preserve">Among the analysed exchanges, a decline in market capitalization was observed for </w:t>
      </w:r>
      <w:r w:rsidRPr="00B35103">
        <w:rPr>
          <w:rFonts w:ascii="Palatino Linotype" w:eastAsia="Times New Roman" w:hAnsi="Palatino Linotype"/>
          <w:bCs/>
          <w:sz w:val="22"/>
          <w:szCs w:val="22"/>
          <w:lang w:val="en-US" w:eastAsia="en-GB"/>
        </w:rPr>
        <w:t>Singapore Exchange</w:t>
      </w:r>
      <w:r w:rsidRPr="008E32D2">
        <w:rPr>
          <w:rFonts w:ascii="Palatino Linotype" w:eastAsia="Times New Roman" w:hAnsi="Palatino Linotype"/>
          <w:bCs/>
          <w:sz w:val="22"/>
          <w:szCs w:val="22"/>
          <w:lang w:val="en-US" w:eastAsia="en-GB"/>
        </w:rPr>
        <w:t xml:space="preserve"> (</w:t>
      </w:r>
      <w:r w:rsidRPr="00B35103">
        <w:rPr>
          <w:rFonts w:ascii="Palatino Linotype" w:eastAsia="Times New Roman" w:hAnsi="Palatino Linotype"/>
          <w:bCs/>
          <w:sz w:val="22"/>
          <w:szCs w:val="22"/>
          <w:lang w:val="en-US" w:eastAsia="en-GB"/>
        </w:rPr>
        <w:t>-2.4</w:t>
      </w:r>
      <w:r w:rsidRPr="008E32D2">
        <w:rPr>
          <w:rFonts w:ascii="Palatino Linotype" w:eastAsia="Times New Roman" w:hAnsi="Palatino Linotype"/>
          <w:bCs/>
          <w:sz w:val="22"/>
          <w:szCs w:val="22"/>
          <w:lang w:val="en-US" w:eastAsia="en-GB"/>
        </w:rPr>
        <w:t xml:space="preserve"> per cent) and</w:t>
      </w:r>
      <w:r w:rsidRPr="00E83251">
        <w:t xml:space="preserve"> </w:t>
      </w:r>
      <w:r w:rsidRPr="00B35103">
        <w:rPr>
          <w:rFonts w:ascii="Palatino Linotype" w:eastAsia="Times New Roman" w:hAnsi="Palatino Linotype"/>
          <w:bCs/>
          <w:sz w:val="22"/>
          <w:szCs w:val="22"/>
          <w:lang w:val="en-US" w:eastAsia="en-GB"/>
        </w:rPr>
        <w:t>Japan Exchange Group</w:t>
      </w:r>
      <w:r w:rsidRPr="008E32D2">
        <w:rPr>
          <w:rFonts w:ascii="Palatino Linotype" w:eastAsia="Times New Roman" w:hAnsi="Palatino Linotype"/>
          <w:bCs/>
          <w:sz w:val="22"/>
          <w:szCs w:val="22"/>
          <w:lang w:val="en-US" w:eastAsia="en-GB"/>
        </w:rPr>
        <w:t xml:space="preserve"> (</w:t>
      </w:r>
      <w:r w:rsidRPr="00B35103">
        <w:rPr>
          <w:rFonts w:ascii="Palatino Linotype" w:eastAsia="Times New Roman" w:hAnsi="Palatino Linotype"/>
          <w:bCs/>
          <w:sz w:val="22"/>
          <w:szCs w:val="22"/>
          <w:lang w:val="en-US" w:eastAsia="en-GB"/>
        </w:rPr>
        <w:t>-1.4</w:t>
      </w:r>
      <w:r w:rsidRPr="008E32D2">
        <w:rPr>
          <w:rFonts w:ascii="Palatino Linotype" w:eastAsia="Times New Roman" w:hAnsi="Palatino Linotype"/>
          <w:bCs/>
          <w:sz w:val="22"/>
          <w:szCs w:val="22"/>
          <w:lang w:val="en-US" w:eastAsia="en-GB"/>
        </w:rPr>
        <w:t xml:space="preserve"> per cent).  </w:t>
      </w:r>
    </w:p>
    <w:p w:rsidR="003F4581" w:rsidRDefault="003F4581" w:rsidP="003F4581">
      <w:pPr>
        <w:spacing w:line="276" w:lineRule="auto"/>
        <w:ind w:left="360"/>
        <w:contextualSpacing/>
        <w:jc w:val="both"/>
        <w:rPr>
          <w:rFonts w:ascii="Palatino Linotype" w:eastAsia="Times New Roman" w:hAnsi="Palatino Linotype"/>
          <w:b/>
          <w:sz w:val="22"/>
          <w:szCs w:val="22"/>
          <w:u w:val="single"/>
          <w:lang w:val="en-US"/>
        </w:rPr>
      </w:pPr>
    </w:p>
    <w:p w:rsidR="003F4581" w:rsidRDefault="003F4581" w:rsidP="003F4581">
      <w:pPr>
        <w:spacing w:line="276" w:lineRule="auto"/>
        <w:ind w:left="360"/>
        <w:contextualSpacing/>
        <w:jc w:val="both"/>
        <w:rPr>
          <w:rFonts w:ascii="Palatino Linotype" w:eastAsia="Times New Roman" w:hAnsi="Palatino Linotype"/>
          <w:b/>
          <w:sz w:val="22"/>
          <w:szCs w:val="22"/>
          <w:u w:val="single"/>
          <w:lang w:val="en-US"/>
        </w:rPr>
      </w:pPr>
    </w:p>
    <w:p w:rsidR="003F4581" w:rsidRPr="00497662" w:rsidRDefault="003F4581" w:rsidP="003F4581">
      <w:pPr>
        <w:spacing w:line="276" w:lineRule="auto"/>
        <w:ind w:left="360"/>
        <w:contextualSpacing/>
        <w:jc w:val="both"/>
        <w:rPr>
          <w:rFonts w:ascii="Palatino Linotype" w:eastAsia="Times New Roman" w:hAnsi="Palatino Linotype"/>
          <w:b/>
          <w:sz w:val="22"/>
          <w:szCs w:val="22"/>
          <w:lang w:val="en-US" w:eastAsia="en-GB"/>
        </w:rPr>
      </w:pPr>
      <w:r w:rsidRPr="00497662">
        <w:rPr>
          <w:rFonts w:ascii="Palatino Linotype" w:eastAsia="Times New Roman" w:hAnsi="Palatino Linotype"/>
          <w:b/>
          <w:sz w:val="22"/>
          <w:szCs w:val="22"/>
          <w:u w:val="single"/>
          <w:lang w:val="en-US"/>
        </w:rPr>
        <w:t xml:space="preserve">Derivatives </w:t>
      </w:r>
      <w:r w:rsidRPr="00497662">
        <w:rPr>
          <w:rFonts w:ascii="Palatino Linotype" w:eastAsia="Times New Roman" w:hAnsi="Palatino Linotype"/>
          <w:b/>
          <w:sz w:val="22"/>
          <w:szCs w:val="22"/>
          <w:lang w:val="en-US" w:eastAsia="en-GB"/>
        </w:rPr>
        <w:t xml:space="preserve">(Figures 5-6, Table A4–A8) – </w:t>
      </w:r>
    </w:p>
    <w:p w:rsidR="003F4581" w:rsidRPr="007108A6" w:rsidRDefault="003F4581" w:rsidP="003F4581">
      <w:pPr>
        <w:spacing w:line="276" w:lineRule="auto"/>
        <w:ind w:left="360"/>
        <w:contextualSpacing/>
        <w:jc w:val="both"/>
        <w:rPr>
          <w:rFonts w:ascii="Palatino Linotype" w:eastAsia="Times New Roman" w:hAnsi="Palatino Linotype"/>
          <w:b/>
          <w:sz w:val="22"/>
          <w:szCs w:val="22"/>
          <w:lang w:val="en-US" w:eastAsia="en-GB"/>
        </w:rPr>
      </w:pPr>
    </w:p>
    <w:p w:rsidR="003F4581" w:rsidRPr="007108A6" w:rsidRDefault="003F4581" w:rsidP="003F4581">
      <w:pPr>
        <w:numPr>
          <w:ilvl w:val="0"/>
          <w:numId w:val="8"/>
        </w:numPr>
        <w:spacing w:line="276" w:lineRule="auto"/>
        <w:jc w:val="both"/>
        <w:rPr>
          <w:rFonts w:ascii="Palatino Linotype" w:eastAsia="Times New Roman" w:hAnsi="Palatino Linotype"/>
          <w:bCs/>
          <w:sz w:val="22"/>
          <w:szCs w:val="22"/>
          <w:lang w:val="en-US" w:eastAsia="en-GB"/>
        </w:rPr>
      </w:pPr>
      <w:r w:rsidRPr="007108A6">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April</w:t>
      </w:r>
      <w:r w:rsidRPr="007108A6">
        <w:rPr>
          <w:rFonts w:ascii="Palatino Linotype" w:eastAsia="Times New Roman" w:hAnsi="Palatino Linotype"/>
          <w:bCs/>
          <w:sz w:val="22"/>
          <w:szCs w:val="22"/>
          <w:lang w:val="en-US" w:eastAsia="en-GB"/>
        </w:rPr>
        <w:t xml:space="preserve"> 2021, the highest number of single stock futures contracts traded was at</w:t>
      </w:r>
      <w:r w:rsidRPr="007108A6">
        <w:t xml:space="preserve"> </w:t>
      </w:r>
      <w:r w:rsidRPr="009916D7">
        <w:rPr>
          <w:rFonts w:ascii="Palatino Linotype" w:eastAsia="Times New Roman" w:hAnsi="Palatino Linotype"/>
          <w:bCs/>
          <w:sz w:val="22"/>
          <w:szCs w:val="22"/>
          <w:lang w:val="en-US" w:eastAsia="en-GB"/>
        </w:rPr>
        <w:t>Borsa Istanbul</w:t>
      </w:r>
      <w:r w:rsidRPr="007108A6">
        <w:rPr>
          <w:rFonts w:ascii="Palatino Linotype" w:eastAsia="Times New Roman" w:hAnsi="Palatino Linotype"/>
          <w:bCs/>
          <w:sz w:val="22"/>
          <w:szCs w:val="22"/>
          <w:lang w:val="en-US" w:eastAsia="en-GB"/>
        </w:rPr>
        <w:t xml:space="preserve"> (</w:t>
      </w:r>
      <w:r w:rsidRPr="009916D7">
        <w:rPr>
          <w:rFonts w:ascii="Palatino Linotype" w:eastAsia="Times New Roman" w:hAnsi="Palatino Linotype"/>
          <w:bCs/>
          <w:sz w:val="22"/>
          <w:szCs w:val="22"/>
          <w:lang w:val="en-US" w:eastAsia="en-GB"/>
        </w:rPr>
        <w:t>103,821,886)</w:t>
      </w:r>
      <w:r w:rsidRPr="007108A6">
        <w:rPr>
          <w:rFonts w:ascii="Palatino Linotype" w:eastAsia="Times New Roman" w:hAnsi="Palatino Linotype"/>
          <w:bCs/>
          <w:sz w:val="22"/>
          <w:szCs w:val="22"/>
          <w:lang w:val="en-US" w:eastAsia="en-GB"/>
        </w:rPr>
        <w:t xml:space="preserve"> followed by </w:t>
      </w:r>
      <w:r w:rsidRPr="009916D7">
        <w:rPr>
          <w:rFonts w:ascii="Palatino Linotype" w:eastAsia="Times New Roman" w:hAnsi="Palatino Linotype"/>
          <w:bCs/>
          <w:sz w:val="22"/>
          <w:szCs w:val="22"/>
          <w:lang w:val="en-US" w:eastAsia="en-GB"/>
        </w:rPr>
        <w:t>Korea Exchange</w:t>
      </w:r>
      <w:r w:rsidRPr="007108A6">
        <w:rPr>
          <w:rFonts w:ascii="Palatino Linotype" w:eastAsia="Times New Roman" w:hAnsi="Palatino Linotype"/>
          <w:bCs/>
          <w:sz w:val="22"/>
          <w:szCs w:val="22"/>
          <w:lang w:val="en-US" w:eastAsia="en-GB"/>
        </w:rPr>
        <w:t xml:space="preserve"> (</w:t>
      </w:r>
      <w:r w:rsidRPr="009916D7">
        <w:rPr>
          <w:rFonts w:ascii="Palatino Linotype" w:eastAsia="Times New Roman" w:hAnsi="Palatino Linotype"/>
          <w:bCs/>
          <w:sz w:val="22"/>
          <w:szCs w:val="22"/>
          <w:lang w:val="en-US" w:eastAsia="en-GB"/>
        </w:rPr>
        <w:t>100,740,437)</w:t>
      </w:r>
      <w:r w:rsidRPr="007108A6">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 xml:space="preserve">Notional turnover of single stock futures was highest for NSE in April 2021. </w:t>
      </w:r>
      <w:r w:rsidRPr="007108A6">
        <w:rPr>
          <w:rFonts w:ascii="Palatino Linotype" w:eastAsia="Times New Roman" w:hAnsi="Palatino Linotype"/>
          <w:bCs/>
          <w:sz w:val="22"/>
          <w:szCs w:val="22"/>
          <w:lang w:val="en-US" w:eastAsia="en-GB"/>
        </w:rPr>
        <w:t xml:space="preserve">The highest number of single stock options were traded at </w:t>
      </w:r>
      <w:r w:rsidRPr="009916D7">
        <w:rPr>
          <w:rFonts w:ascii="Palatino Linotype" w:eastAsia="Times New Roman" w:hAnsi="Palatino Linotype"/>
          <w:bCs/>
          <w:sz w:val="22"/>
          <w:szCs w:val="22"/>
          <w:lang w:val="en-US" w:eastAsia="en-GB"/>
        </w:rPr>
        <w:t>Nasdaq - US</w:t>
      </w:r>
      <w:r w:rsidRPr="007108A6">
        <w:rPr>
          <w:rFonts w:ascii="Palatino Linotype" w:eastAsia="Times New Roman" w:hAnsi="Palatino Linotype"/>
          <w:bCs/>
          <w:sz w:val="22"/>
          <w:szCs w:val="22"/>
          <w:lang w:val="en-US" w:eastAsia="en-GB"/>
        </w:rPr>
        <w:t xml:space="preserve"> (</w:t>
      </w:r>
      <w:r w:rsidRPr="009916D7">
        <w:rPr>
          <w:rFonts w:ascii="Palatino Linotype" w:eastAsia="Times New Roman" w:hAnsi="Palatino Linotype"/>
          <w:bCs/>
          <w:sz w:val="22"/>
          <w:szCs w:val="22"/>
          <w:lang w:val="en-US" w:eastAsia="en-GB"/>
        </w:rPr>
        <w:t>183,872,517)</w:t>
      </w:r>
      <w:r w:rsidRPr="007108A6">
        <w:rPr>
          <w:rFonts w:ascii="Palatino Linotype" w:eastAsia="Times New Roman" w:hAnsi="Palatino Linotype"/>
          <w:bCs/>
          <w:sz w:val="22"/>
          <w:szCs w:val="22"/>
          <w:lang w:val="en-US" w:eastAsia="en-GB"/>
        </w:rPr>
        <w:t xml:space="preserve"> followed by </w:t>
      </w:r>
      <w:r w:rsidRPr="009916D7">
        <w:rPr>
          <w:rFonts w:ascii="Palatino Linotype" w:eastAsia="Times New Roman" w:hAnsi="Palatino Linotype"/>
          <w:bCs/>
          <w:sz w:val="22"/>
          <w:szCs w:val="22"/>
          <w:lang w:val="en-US" w:eastAsia="en-GB"/>
        </w:rPr>
        <w:t>Cboe Global Markets</w:t>
      </w:r>
      <w:r w:rsidRPr="007108A6">
        <w:rPr>
          <w:rFonts w:ascii="Palatino Linotype" w:eastAsia="Times New Roman" w:hAnsi="Palatino Linotype"/>
          <w:bCs/>
          <w:sz w:val="22"/>
          <w:szCs w:val="22"/>
          <w:lang w:val="en-US" w:eastAsia="en-GB"/>
        </w:rPr>
        <w:t xml:space="preserve"> (</w:t>
      </w:r>
      <w:r w:rsidRPr="009916D7">
        <w:rPr>
          <w:rFonts w:ascii="Palatino Linotype" w:eastAsia="Times New Roman" w:hAnsi="Palatino Linotype"/>
          <w:bCs/>
          <w:sz w:val="22"/>
          <w:szCs w:val="22"/>
          <w:lang w:val="en-US" w:eastAsia="en-GB"/>
        </w:rPr>
        <w:t>120,857,606)</w:t>
      </w:r>
      <w:r w:rsidRPr="007108A6">
        <w:rPr>
          <w:rFonts w:ascii="Palatino Linotype" w:eastAsia="Times New Roman" w:hAnsi="Palatino Linotype"/>
          <w:bCs/>
          <w:sz w:val="22"/>
          <w:szCs w:val="22"/>
          <w:lang w:val="en-US" w:eastAsia="en-GB"/>
        </w:rPr>
        <w:t>.</w:t>
      </w:r>
    </w:p>
    <w:p w:rsidR="003F4581" w:rsidRPr="007108A6" w:rsidRDefault="003F4581" w:rsidP="003F4581">
      <w:pPr>
        <w:numPr>
          <w:ilvl w:val="0"/>
          <w:numId w:val="8"/>
        </w:numPr>
        <w:spacing w:line="276" w:lineRule="auto"/>
        <w:jc w:val="both"/>
        <w:rPr>
          <w:rFonts w:ascii="Palatino Linotype" w:eastAsia="Times New Roman" w:hAnsi="Palatino Linotype"/>
          <w:bCs/>
          <w:sz w:val="22"/>
          <w:szCs w:val="22"/>
          <w:lang w:val="en-US" w:eastAsia="en-GB"/>
        </w:rPr>
      </w:pPr>
      <w:r w:rsidRPr="007108A6">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April</w:t>
      </w:r>
      <w:r w:rsidRPr="007108A6">
        <w:rPr>
          <w:rFonts w:ascii="Palatino Linotype" w:eastAsia="Times New Roman" w:hAnsi="Palatino Linotype"/>
          <w:bCs/>
          <w:sz w:val="22"/>
          <w:szCs w:val="22"/>
          <w:lang w:val="en-US" w:eastAsia="en-GB"/>
        </w:rPr>
        <w:t xml:space="preserve"> 2021, the highest number of stock index futures contracts traded was at </w:t>
      </w:r>
      <w:r w:rsidRPr="0059214E">
        <w:rPr>
          <w:rFonts w:ascii="Palatino Linotype" w:eastAsia="Times New Roman" w:hAnsi="Palatino Linotype"/>
          <w:bCs/>
          <w:sz w:val="22"/>
          <w:szCs w:val="22"/>
          <w:lang w:val="en-US" w:eastAsia="en-GB"/>
        </w:rPr>
        <w:t>B3 - Brasil Bolsa Balcão</w:t>
      </w:r>
      <w:r w:rsidRPr="007108A6">
        <w:rPr>
          <w:rFonts w:ascii="Palatino Linotype" w:eastAsia="Times New Roman" w:hAnsi="Palatino Linotype"/>
          <w:bCs/>
          <w:sz w:val="22"/>
          <w:szCs w:val="22"/>
          <w:lang w:val="en-US" w:eastAsia="en-GB"/>
        </w:rPr>
        <w:t xml:space="preserve"> (</w:t>
      </w:r>
      <w:r w:rsidRPr="0059214E">
        <w:rPr>
          <w:rFonts w:ascii="Palatino Linotype" w:eastAsia="Times New Roman" w:hAnsi="Palatino Linotype"/>
          <w:bCs/>
          <w:sz w:val="22"/>
          <w:szCs w:val="22"/>
          <w:lang w:val="en-US" w:eastAsia="en-GB"/>
        </w:rPr>
        <w:t>325,963,003)</w:t>
      </w:r>
      <w:r w:rsidRPr="007108A6">
        <w:rPr>
          <w:rFonts w:ascii="Palatino Linotype" w:eastAsia="Times New Roman" w:hAnsi="Palatino Linotype"/>
          <w:bCs/>
          <w:sz w:val="22"/>
          <w:szCs w:val="22"/>
          <w:lang w:val="en-US" w:eastAsia="en-GB"/>
        </w:rPr>
        <w:t xml:space="preserve"> followed by CME Group (</w:t>
      </w:r>
      <w:r w:rsidRPr="0059214E">
        <w:rPr>
          <w:rFonts w:ascii="Palatino Linotype" w:eastAsia="Times New Roman" w:hAnsi="Palatino Linotype"/>
          <w:bCs/>
          <w:sz w:val="22"/>
          <w:szCs w:val="22"/>
          <w:lang w:val="en-US" w:eastAsia="en-GB"/>
        </w:rPr>
        <w:t>86,824,274)</w:t>
      </w:r>
      <w:r w:rsidRPr="007108A6">
        <w:rPr>
          <w:rFonts w:ascii="Palatino Linotype" w:eastAsia="Times New Roman" w:hAnsi="Palatino Linotype"/>
          <w:bCs/>
          <w:sz w:val="22"/>
          <w:szCs w:val="22"/>
          <w:lang w:val="en-US" w:eastAsia="en-GB"/>
        </w:rPr>
        <w:t>. The highest number of stock index options were traded at NSE (</w:t>
      </w:r>
      <w:r w:rsidRPr="0059214E">
        <w:rPr>
          <w:rFonts w:ascii="Palatino Linotype" w:eastAsia="Times New Roman" w:hAnsi="Palatino Linotype"/>
          <w:bCs/>
          <w:sz w:val="22"/>
          <w:szCs w:val="22"/>
          <w:lang w:val="en-US" w:eastAsia="en-GB"/>
        </w:rPr>
        <w:t>902,264,117)</w:t>
      </w:r>
      <w:r w:rsidRPr="007108A6">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 xml:space="preserve">which also recorded the highest notional turnover in this segment. Second highest number of </w:t>
      </w:r>
      <w:r w:rsidRPr="007108A6">
        <w:rPr>
          <w:rFonts w:ascii="Palatino Linotype" w:eastAsia="Times New Roman" w:hAnsi="Palatino Linotype"/>
          <w:bCs/>
          <w:sz w:val="22"/>
          <w:szCs w:val="22"/>
          <w:lang w:val="en-US" w:eastAsia="en-GB"/>
        </w:rPr>
        <w:t xml:space="preserve">stock index options </w:t>
      </w:r>
      <w:r>
        <w:rPr>
          <w:rFonts w:ascii="Palatino Linotype" w:eastAsia="Times New Roman" w:hAnsi="Palatino Linotype"/>
          <w:bCs/>
          <w:sz w:val="22"/>
          <w:szCs w:val="22"/>
          <w:lang w:val="en-US" w:eastAsia="en-GB"/>
        </w:rPr>
        <w:t>were traded at</w:t>
      </w:r>
      <w:r w:rsidRPr="007108A6">
        <w:rPr>
          <w:rFonts w:ascii="Palatino Linotype" w:eastAsia="Times New Roman" w:hAnsi="Palatino Linotype"/>
          <w:bCs/>
          <w:sz w:val="22"/>
          <w:szCs w:val="22"/>
          <w:lang w:val="en-US" w:eastAsia="en-GB"/>
        </w:rPr>
        <w:t xml:space="preserve"> Korea Exchange (</w:t>
      </w:r>
      <w:r w:rsidRPr="0059214E">
        <w:rPr>
          <w:rFonts w:ascii="Palatino Linotype" w:eastAsia="Times New Roman" w:hAnsi="Palatino Linotype"/>
          <w:bCs/>
          <w:sz w:val="22"/>
          <w:szCs w:val="22"/>
          <w:lang w:val="en-US" w:eastAsia="en-GB"/>
        </w:rPr>
        <w:t>50,444,695)</w:t>
      </w:r>
      <w:r w:rsidRPr="007108A6">
        <w:rPr>
          <w:rFonts w:ascii="Palatino Linotype" w:eastAsia="Times New Roman" w:hAnsi="Palatino Linotype"/>
          <w:bCs/>
          <w:sz w:val="22"/>
          <w:szCs w:val="22"/>
          <w:lang w:val="en-US" w:eastAsia="en-GB"/>
        </w:rPr>
        <w:t>.</w:t>
      </w:r>
    </w:p>
    <w:p w:rsidR="003F4581" w:rsidRPr="007108A6" w:rsidRDefault="003F4581" w:rsidP="003F4581">
      <w:pPr>
        <w:numPr>
          <w:ilvl w:val="0"/>
          <w:numId w:val="8"/>
        </w:numPr>
        <w:spacing w:line="276" w:lineRule="auto"/>
        <w:jc w:val="both"/>
        <w:rPr>
          <w:rFonts w:ascii="Palatino Linotype" w:eastAsia="Times New Roman" w:hAnsi="Palatino Linotype"/>
          <w:bCs/>
          <w:sz w:val="22"/>
          <w:szCs w:val="22"/>
          <w:lang w:val="en-US" w:eastAsia="en-GB"/>
        </w:rPr>
      </w:pPr>
      <w:r w:rsidRPr="007108A6">
        <w:rPr>
          <w:rFonts w:ascii="Palatino Linotype" w:eastAsia="Times New Roman" w:hAnsi="Palatino Linotype"/>
          <w:bCs/>
          <w:sz w:val="22"/>
          <w:szCs w:val="22"/>
          <w:lang w:val="en-US" w:eastAsia="en-GB"/>
        </w:rPr>
        <w:t>Highest number of currency futures contracts were traded at Moscow Exchange (</w:t>
      </w:r>
      <w:r w:rsidRPr="007A3761">
        <w:rPr>
          <w:rFonts w:ascii="Palatino Linotype" w:eastAsia="Times New Roman" w:hAnsi="Palatino Linotype"/>
          <w:bCs/>
          <w:sz w:val="22"/>
          <w:szCs w:val="22"/>
          <w:lang w:val="en-US" w:eastAsia="en-GB"/>
        </w:rPr>
        <w:t>86,921,808)</w:t>
      </w:r>
      <w:r w:rsidRPr="007108A6">
        <w:rPr>
          <w:rFonts w:ascii="Palatino Linotype" w:eastAsia="Times New Roman" w:hAnsi="Palatino Linotype"/>
          <w:bCs/>
          <w:sz w:val="22"/>
          <w:szCs w:val="22"/>
          <w:lang w:val="en-US" w:eastAsia="en-GB"/>
        </w:rPr>
        <w:t xml:space="preserve"> followed by </w:t>
      </w:r>
      <w:r w:rsidRPr="007A3761">
        <w:rPr>
          <w:rFonts w:ascii="Palatino Linotype" w:eastAsia="Times New Roman" w:hAnsi="Palatino Linotype"/>
          <w:bCs/>
          <w:sz w:val="22"/>
          <w:szCs w:val="22"/>
          <w:lang w:val="en-US" w:eastAsia="en-GB"/>
        </w:rPr>
        <w:t xml:space="preserve">NSE </w:t>
      </w:r>
      <w:r w:rsidRPr="007108A6">
        <w:rPr>
          <w:rFonts w:ascii="Palatino Linotype" w:eastAsia="Times New Roman" w:hAnsi="Palatino Linotype"/>
          <w:bCs/>
          <w:sz w:val="22"/>
          <w:szCs w:val="22"/>
          <w:lang w:val="en-US" w:eastAsia="en-GB"/>
        </w:rPr>
        <w:t>(</w:t>
      </w:r>
      <w:r w:rsidRPr="007A3761">
        <w:rPr>
          <w:rFonts w:ascii="Palatino Linotype" w:eastAsia="Times New Roman" w:hAnsi="Palatino Linotype"/>
          <w:bCs/>
          <w:sz w:val="22"/>
          <w:szCs w:val="22"/>
          <w:lang w:val="en-US" w:eastAsia="en-GB"/>
        </w:rPr>
        <w:t>77,097,710)</w:t>
      </w:r>
      <w:r w:rsidRPr="007108A6">
        <w:rPr>
          <w:rFonts w:ascii="Palatino Linotype" w:eastAsia="Times New Roman" w:hAnsi="Palatino Linotype"/>
          <w:bCs/>
          <w:sz w:val="22"/>
          <w:szCs w:val="22"/>
          <w:lang w:val="en-US" w:eastAsia="en-GB"/>
        </w:rPr>
        <w:t xml:space="preserve">. The highest number of currency options were traded at NSE </w:t>
      </w:r>
      <w:r w:rsidRPr="007108A6">
        <w:rPr>
          <w:rFonts w:ascii="Palatino Linotype" w:eastAsia="Times New Roman" w:hAnsi="Palatino Linotype"/>
          <w:bCs/>
          <w:sz w:val="22"/>
          <w:szCs w:val="22"/>
          <w:lang w:val="en-US" w:eastAsia="en-GB"/>
        </w:rPr>
        <w:lastRenderedPageBreak/>
        <w:t>(</w:t>
      </w:r>
      <w:r w:rsidRPr="00D03E32">
        <w:rPr>
          <w:rFonts w:ascii="Palatino Linotype" w:eastAsia="Times New Roman" w:hAnsi="Palatino Linotype"/>
          <w:bCs/>
          <w:sz w:val="22"/>
          <w:szCs w:val="22"/>
          <w:lang w:val="en-US" w:eastAsia="en-GB"/>
        </w:rPr>
        <w:t>119,090,619)</w:t>
      </w:r>
      <w:r w:rsidRPr="007108A6">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 xml:space="preserve">which also recorded the highest notional turnover in this segment. NSE was </w:t>
      </w:r>
      <w:r w:rsidRPr="007108A6">
        <w:rPr>
          <w:rFonts w:ascii="Palatino Linotype" w:eastAsia="Times New Roman" w:hAnsi="Palatino Linotype"/>
          <w:bCs/>
          <w:sz w:val="22"/>
          <w:szCs w:val="22"/>
          <w:lang w:val="en-US" w:eastAsia="en-GB"/>
        </w:rPr>
        <w:t>followed by Moscow Exchange (</w:t>
      </w:r>
      <w:r w:rsidRPr="00D03E32">
        <w:rPr>
          <w:rFonts w:ascii="Palatino Linotype" w:eastAsia="Times New Roman" w:hAnsi="Palatino Linotype"/>
          <w:bCs/>
          <w:sz w:val="22"/>
          <w:szCs w:val="22"/>
          <w:lang w:val="en-US" w:eastAsia="en-GB"/>
        </w:rPr>
        <w:t>2,434,798)</w:t>
      </w:r>
      <w:r>
        <w:rPr>
          <w:rFonts w:ascii="Palatino Linotype" w:eastAsia="Times New Roman" w:hAnsi="Palatino Linotype"/>
          <w:bCs/>
          <w:sz w:val="22"/>
          <w:szCs w:val="22"/>
          <w:lang w:val="en-US" w:eastAsia="en-GB"/>
        </w:rPr>
        <w:t xml:space="preserve"> in the currency options segment</w:t>
      </w:r>
      <w:r w:rsidRPr="007108A6">
        <w:rPr>
          <w:rFonts w:ascii="Palatino Linotype" w:eastAsia="Times New Roman" w:hAnsi="Palatino Linotype"/>
          <w:bCs/>
          <w:sz w:val="22"/>
          <w:szCs w:val="22"/>
          <w:lang w:val="en-US" w:eastAsia="en-GB"/>
        </w:rPr>
        <w:t>.</w:t>
      </w:r>
    </w:p>
    <w:p w:rsidR="003F4581" w:rsidRPr="007108A6" w:rsidRDefault="003F4581" w:rsidP="003F4581">
      <w:pPr>
        <w:numPr>
          <w:ilvl w:val="0"/>
          <w:numId w:val="8"/>
        </w:numPr>
        <w:spacing w:line="276" w:lineRule="auto"/>
        <w:jc w:val="both"/>
        <w:rPr>
          <w:rFonts w:ascii="Palatino Linotype" w:eastAsia="Times New Roman" w:hAnsi="Palatino Linotype"/>
          <w:bCs/>
          <w:sz w:val="22"/>
          <w:szCs w:val="22"/>
          <w:lang w:val="en-US" w:eastAsia="en-GB"/>
        </w:rPr>
      </w:pPr>
      <w:r w:rsidRPr="007108A6">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April</w:t>
      </w:r>
      <w:r w:rsidRPr="007108A6">
        <w:rPr>
          <w:rFonts w:ascii="Palatino Linotype" w:eastAsia="Times New Roman" w:hAnsi="Palatino Linotype"/>
          <w:bCs/>
          <w:sz w:val="22"/>
          <w:szCs w:val="22"/>
          <w:lang w:val="en-US" w:eastAsia="en-GB"/>
        </w:rPr>
        <w:t xml:space="preserve"> 2021, the highest number of interest rate futures were traded at CME Group (</w:t>
      </w:r>
      <w:r w:rsidRPr="00086EF0">
        <w:rPr>
          <w:rFonts w:ascii="Palatino Linotype" w:eastAsia="Times New Roman" w:hAnsi="Palatino Linotype"/>
          <w:bCs/>
          <w:sz w:val="22"/>
          <w:szCs w:val="22"/>
          <w:lang w:val="en-US" w:eastAsia="en-GB"/>
        </w:rPr>
        <w:t>111,693,023)</w:t>
      </w:r>
      <w:r w:rsidRPr="007108A6">
        <w:rPr>
          <w:rFonts w:ascii="Palatino Linotype" w:eastAsia="Times New Roman" w:hAnsi="Palatino Linotype"/>
          <w:bCs/>
          <w:sz w:val="22"/>
          <w:szCs w:val="22"/>
          <w:lang w:val="en-US" w:eastAsia="en-GB"/>
        </w:rPr>
        <w:t xml:space="preserve"> followed by B3 - Brasil Bolsa Balcão (</w:t>
      </w:r>
      <w:r w:rsidRPr="00086EF0">
        <w:rPr>
          <w:rFonts w:ascii="Palatino Linotype" w:eastAsia="Times New Roman" w:hAnsi="Palatino Linotype"/>
          <w:bCs/>
          <w:sz w:val="22"/>
          <w:szCs w:val="22"/>
          <w:lang w:val="en-US" w:eastAsia="en-GB"/>
        </w:rPr>
        <w:t>43,578,141)</w:t>
      </w:r>
      <w:r w:rsidRPr="007108A6">
        <w:rPr>
          <w:rFonts w:ascii="Palatino Linotype" w:eastAsia="Times New Roman" w:hAnsi="Palatino Linotype"/>
          <w:bCs/>
          <w:sz w:val="22"/>
          <w:szCs w:val="22"/>
          <w:lang w:val="en-US" w:eastAsia="en-GB"/>
        </w:rPr>
        <w:t>. Highest number of interest rate options were traded at CME Group (</w:t>
      </w:r>
      <w:r w:rsidRPr="00086EF0">
        <w:rPr>
          <w:rFonts w:ascii="Palatino Linotype" w:eastAsia="Times New Roman" w:hAnsi="Palatino Linotype"/>
          <w:bCs/>
          <w:sz w:val="22"/>
          <w:szCs w:val="22"/>
          <w:lang w:val="en-US" w:eastAsia="en-GB"/>
        </w:rPr>
        <w:t>36,577,125)</w:t>
      </w:r>
      <w:r w:rsidRPr="007108A6">
        <w:rPr>
          <w:rFonts w:ascii="Palatino Linotype" w:eastAsia="Times New Roman" w:hAnsi="Palatino Linotype"/>
          <w:bCs/>
          <w:sz w:val="22"/>
          <w:szCs w:val="22"/>
          <w:lang w:val="en-US" w:eastAsia="en-GB"/>
        </w:rPr>
        <w:t xml:space="preserve"> followed by B3 - Brasil Bolsa Balcão (</w:t>
      </w:r>
      <w:r w:rsidRPr="00086EF0">
        <w:rPr>
          <w:rFonts w:ascii="Palatino Linotype" w:eastAsia="Times New Roman" w:hAnsi="Palatino Linotype"/>
          <w:bCs/>
          <w:sz w:val="22"/>
          <w:szCs w:val="22"/>
          <w:lang w:val="en-US" w:eastAsia="en-GB"/>
        </w:rPr>
        <w:t>11,231,853)</w:t>
      </w:r>
      <w:r w:rsidRPr="007108A6">
        <w:rPr>
          <w:rFonts w:ascii="Palatino Linotype" w:eastAsia="Times New Roman" w:hAnsi="Palatino Linotype"/>
          <w:bCs/>
          <w:sz w:val="22"/>
          <w:szCs w:val="22"/>
          <w:lang w:val="en-US" w:eastAsia="en-GB"/>
        </w:rPr>
        <w:t xml:space="preserve">. </w:t>
      </w:r>
    </w:p>
    <w:p w:rsidR="003F4581" w:rsidRPr="007108A6" w:rsidRDefault="003F4581" w:rsidP="003F4581">
      <w:pPr>
        <w:numPr>
          <w:ilvl w:val="0"/>
          <w:numId w:val="8"/>
        </w:numPr>
        <w:spacing w:line="276" w:lineRule="auto"/>
        <w:jc w:val="both"/>
        <w:rPr>
          <w:rFonts w:ascii="Palatino Linotype" w:eastAsia="Times New Roman" w:hAnsi="Palatino Linotype"/>
          <w:bCs/>
          <w:sz w:val="22"/>
          <w:szCs w:val="22"/>
          <w:lang w:val="en-US" w:eastAsia="en-GB"/>
        </w:rPr>
      </w:pPr>
      <w:r w:rsidRPr="007108A6">
        <w:rPr>
          <w:rFonts w:ascii="Palatino Linotype" w:eastAsia="Times New Roman" w:hAnsi="Palatino Linotype"/>
          <w:bCs/>
          <w:sz w:val="22"/>
          <w:szCs w:val="22"/>
          <w:lang w:val="en-US" w:eastAsia="en-GB"/>
        </w:rPr>
        <w:t>The highest number of commodity futures contracts were traded at Zhengzhou Commodity Exchange (</w:t>
      </w:r>
      <w:r w:rsidRPr="008A58A2">
        <w:rPr>
          <w:rFonts w:ascii="Palatino Linotype" w:eastAsia="Times New Roman" w:hAnsi="Palatino Linotype"/>
          <w:bCs/>
          <w:sz w:val="22"/>
          <w:szCs w:val="22"/>
          <w:lang w:val="en-US" w:eastAsia="en-GB"/>
        </w:rPr>
        <w:t>220,290,729)</w:t>
      </w:r>
      <w:r w:rsidRPr="007108A6">
        <w:rPr>
          <w:rFonts w:ascii="Palatino Linotype" w:eastAsia="Times New Roman" w:hAnsi="Palatino Linotype"/>
          <w:bCs/>
          <w:sz w:val="22"/>
          <w:szCs w:val="22"/>
          <w:lang w:val="en-US" w:eastAsia="en-GB"/>
        </w:rPr>
        <w:t xml:space="preserve"> followed by Shanghai Futures Exchange (</w:t>
      </w:r>
      <w:r w:rsidRPr="008A58A2">
        <w:rPr>
          <w:rFonts w:ascii="Palatino Linotype" w:eastAsia="Times New Roman" w:hAnsi="Palatino Linotype"/>
          <w:bCs/>
          <w:sz w:val="22"/>
          <w:szCs w:val="22"/>
          <w:lang w:val="en-US" w:eastAsia="en-GB"/>
        </w:rPr>
        <w:t>217,593,015)</w:t>
      </w:r>
      <w:r w:rsidRPr="007108A6">
        <w:rPr>
          <w:rFonts w:ascii="Palatino Linotype" w:eastAsia="Times New Roman" w:hAnsi="Palatino Linotype"/>
          <w:bCs/>
          <w:sz w:val="22"/>
          <w:szCs w:val="22"/>
          <w:lang w:val="en-US" w:eastAsia="en-GB"/>
        </w:rPr>
        <w:t xml:space="preserve"> in </w:t>
      </w:r>
      <w:r>
        <w:rPr>
          <w:rFonts w:ascii="Palatino Linotype" w:eastAsia="Times New Roman" w:hAnsi="Palatino Linotype"/>
          <w:bCs/>
          <w:sz w:val="22"/>
          <w:szCs w:val="22"/>
          <w:lang w:val="en-US" w:eastAsia="en-GB"/>
        </w:rPr>
        <w:t>April</w:t>
      </w:r>
      <w:r w:rsidRPr="007108A6">
        <w:rPr>
          <w:rFonts w:ascii="Palatino Linotype" w:eastAsia="Times New Roman" w:hAnsi="Palatino Linotype"/>
          <w:bCs/>
          <w:sz w:val="22"/>
          <w:szCs w:val="22"/>
          <w:lang w:val="en-US" w:eastAsia="en-GB"/>
        </w:rPr>
        <w:t xml:space="preserve"> 2021. Among the commodity options the highest number of contracts were traded at CME Group (</w:t>
      </w:r>
      <w:r w:rsidRPr="008A58A2">
        <w:rPr>
          <w:rFonts w:ascii="Palatino Linotype" w:eastAsia="Times New Roman" w:hAnsi="Palatino Linotype"/>
          <w:bCs/>
          <w:sz w:val="22"/>
          <w:szCs w:val="22"/>
          <w:lang w:val="en-US" w:eastAsia="en-GB"/>
        </w:rPr>
        <w:t>11,983,674)</w:t>
      </w:r>
      <w:r w:rsidRPr="007108A6">
        <w:rPr>
          <w:rFonts w:ascii="Palatino Linotype" w:eastAsia="Times New Roman" w:hAnsi="Palatino Linotype"/>
          <w:bCs/>
          <w:sz w:val="22"/>
          <w:szCs w:val="22"/>
          <w:lang w:val="en-US" w:eastAsia="en-GB"/>
        </w:rPr>
        <w:t xml:space="preserve"> followed by Zhengzhou Commodity Exchange (</w:t>
      </w:r>
      <w:r w:rsidRPr="008A58A2">
        <w:rPr>
          <w:rFonts w:ascii="Palatino Linotype" w:eastAsia="Times New Roman" w:hAnsi="Palatino Linotype"/>
          <w:bCs/>
          <w:sz w:val="22"/>
          <w:szCs w:val="22"/>
          <w:lang w:val="en-US" w:eastAsia="en-GB"/>
        </w:rPr>
        <w:t>5,366,060)</w:t>
      </w:r>
      <w:r w:rsidRPr="007108A6">
        <w:rPr>
          <w:rFonts w:ascii="Palatino Linotype" w:eastAsia="Times New Roman" w:hAnsi="Palatino Linotype"/>
          <w:bCs/>
          <w:sz w:val="22"/>
          <w:szCs w:val="22"/>
          <w:lang w:val="en-US" w:eastAsia="en-GB"/>
        </w:rPr>
        <w:t xml:space="preserve"> during the same period.</w:t>
      </w:r>
    </w:p>
    <w:p w:rsidR="003F4581" w:rsidRPr="007108A6" w:rsidRDefault="003F4581" w:rsidP="003F4581">
      <w:pPr>
        <w:numPr>
          <w:ilvl w:val="0"/>
          <w:numId w:val="8"/>
        </w:numPr>
        <w:spacing w:line="276" w:lineRule="auto"/>
        <w:ind w:hanging="357"/>
        <w:contextualSpacing/>
        <w:jc w:val="both"/>
        <w:rPr>
          <w:rFonts w:ascii="Palatino Linotype" w:hAnsi="Palatino Linotype"/>
          <w:bCs/>
          <w:sz w:val="22"/>
          <w:szCs w:val="22"/>
          <w:lang w:val="en-US"/>
        </w:rPr>
      </w:pPr>
      <w:r w:rsidRPr="007108A6">
        <w:rPr>
          <w:rFonts w:ascii="Palatino Linotype" w:eastAsia="Times New Roman" w:hAnsi="Palatino Linotype"/>
          <w:bCs/>
          <w:sz w:val="22"/>
          <w:szCs w:val="22"/>
          <w:lang w:val="en-US" w:eastAsia="en-GB"/>
        </w:rPr>
        <w:t>In Ma</w:t>
      </w:r>
      <w:r w:rsidR="00C333B4">
        <w:rPr>
          <w:rFonts w:ascii="Palatino Linotype" w:eastAsia="Times New Roman" w:hAnsi="Palatino Linotype"/>
          <w:bCs/>
          <w:sz w:val="22"/>
          <w:szCs w:val="22"/>
          <w:lang w:val="en-US" w:eastAsia="en-GB"/>
        </w:rPr>
        <w:t>y</w:t>
      </w:r>
      <w:r w:rsidRPr="007108A6">
        <w:rPr>
          <w:rFonts w:ascii="Palatino Linotype" w:eastAsia="Times New Roman" w:hAnsi="Palatino Linotype"/>
          <w:bCs/>
          <w:sz w:val="22"/>
          <w:szCs w:val="22"/>
          <w:lang w:val="en-US" w:eastAsia="en-GB"/>
        </w:rPr>
        <w:t xml:space="preserve"> 2021, most of the analysed</w:t>
      </w:r>
      <w:r w:rsidRPr="007108A6">
        <w:rPr>
          <w:rFonts w:ascii="Palatino Linotype" w:eastAsia="Times New Roman" w:hAnsi="Palatino Linotype"/>
          <w:bCs/>
          <w:sz w:val="22"/>
          <w:szCs w:val="22"/>
          <w:vertAlign w:val="superscript"/>
          <w:lang w:val="en-US" w:eastAsia="en-GB"/>
        </w:rPr>
        <w:footnoteReference w:id="8"/>
      </w:r>
      <w:r w:rsidRPr="007108A6">
        <w:rPr>
          <w:rFonts w:ascii="Palatino Linotype" w:eastAsia="Times New Roman" w:hAnsi="Palatino Linotype"/>
          <w:bCs/>
          <w:sz w:val="22"/>
          <w:szCs w:val="22"/>
          <w:lang w:val="en-US" w:eastAsia="en-GB"/>
        </w:rPr>
        <w:t xml:space="preserve"> currencies appreciated against dollar.</w:t>
      </w:r>
      <w:r>
        <w:rPr>
          <w:rFonts w:ascii="Palatino Linotype" w:eastAsia="Times New Roman" w:hAnsi="Palatino Linotype"/>
          <w:bCs/>
          <w:sz w:val="22"/>
          <w:szCs w:val="22"/>
          <w:lang w:val="en-US" w:eastAsia="en-GB"/>
        </w:rPr>
        <w:t xml:space="preserve"> Yen</w:t>
      </w:r>
      <w:r w:rsidRPr="007108A6">
        <w:rPr>
          <w:rFonts w:ascii="Palatino Linotype" w:eastAsia="Times New Roman" w:hAnsi="Palatino Linotype"/>
          <w:bCs/>
          <w:sz w:val="22"/>
          <w:szCs w:val="22"/>
          <w:lang w:val="en-US" w:eastAsia="en-GB"/>
        </w:rPr>
        <w:t xml:space="preserve"> was the only currency to depreciate among the analysed currencies.</w:t>
      </w:r>
    </w:p>
    <w:p w:rsidR="003F4581" w:rsidRPr="007108A6" w:rsidRDefault="003F4581" w:rsidP="003F4581">
      <w:pPr>
        <w:spacing w:line="276" w:lineRule="auto"/>
        <w:outlineLvl w:val="0"/>
        <w:rPr>
          <w:rFonts w:ascii="Palatino Linotype" w:eastAsia="Times New Roman" w:hAnsi="Palatino Linotype"/>
          <w:b/>
          <w:sz w:val="22"/>
          <w:szCs w:val="22"/>
          <w:u w:val="single"/>
        </w:rPr>
      </w:pPr>
    </w:p>
    <w:p w:rsidR="003F4581" w:rsidRPr="0024165F" w:rsidRDefault="003F4581" w:rsidP="003F4581">
      <w:pPr>
        <w:spacing w:line="276" w:lineRule="auto"/>
        <w:outlineLvl w:val="0"/>
        <w:rPr>
          <w:rFonts w:ascii="Palatino Linotype" w:eastAsia="Times New Roman" w:hAnsi="Palatino Linotype"/>
          <w:b/>
          <w:sz w:val="22"/>
          <w:szCs w:val="22"/>
          <w:lang w:eastAsia="en-GB"/>
        </w:rPr>
      </w:pPr>
      <w:r w:rsidRPr="0024165F">
        <w:rPr>
          <w:rFonts w:ascii="Palatino Linotype" w:eastAsia="Times New Roman" w:hAnsi="Palatino Linotype"/>
          <w:b/>
          <w:sz w:val="22"/>
          <w:szCs w:val="22"/>
          <w:u w:val="single"/>
        </w:rPr>
        <w:t xml:space="preserve">US Treasury Securities </w:t>
      </w:r>
      <w:r w:rsidRPr="0024165F">
        <w:rPr>
          <w:rFonts w:ascii="Palatino Linotype" w:eastAsia="Times New Roman" w:hAnsi="Palatino Linotype"/>
          <w:b/>
          <w:sz w:val="22"/>
          <w:szCs w:val="22"/>
          <w:lang w:eastAsia="en-GB"/>
        </w:rPr>
        <w:t>(Table A9)</w:t>
      </w:r>
    </w:p>
    <w:p w:rsidR="003F4581" w:rsidRPr="004D411D" w:rsidRDefault="003F4581" w:rsidP="003F4581">
      <w:pPr>
        <w:spacing w:line="276" w:lineRule="auto"/>
        <w:outlineLvl w:val="0"/>
        <w:rPr>
          <w:rFonts w:ascii="Palatino Linotype" w:hAnsi="Palatino Linotype"/>
          <w:bCs/>
          <w:sz w:val="22"/>
          <w:szCs w:val="22"/>
        </w:rPr>
      </w:pPr>
    </w:p>
    <w:p w:rsidR="003F4581" w:rsidRPr="004D411D" w:rsidRDefault="003F4581" w:rsidP="003F4581">
      <w:pPr>
        <w:numPr>
          <w:ilvl w:val="0"/>
          <w:numId w:val="8"/>
        </w:numPr>
        <w:spacing w:line="276" w:lineRule="auto"/>
        <w:contextualSpacing/>
        <w:jc w:val="both"/>
        <w:rPr>
          <w:rFonts w:ascii="Palatino Linotype" w:hAnsi="Palatino Linotype"/>
          <w:bCs/>
          <w:sz w:val="22"/>
          <w:szCs w:val="22"/>
          <w:lang w:val="en-US"/>
        </w:rPr>
      </w:pPr>
      <w:r w:rsidRPr="004D411D">
        <w:rPr>
          <w:rFonts w:ascii="Palatino Linotype" w:eastAsia="Times New Roman" w:hAnsi="Palatino Linotype"/>
          <w:bCs/>
          <w:sz w:val="22"/>
          <w:szCs w:val="22"/>
          <w:lang w:val="en-US" w:eastAsia="en-GB"/>
        </w:rPr>
        <w:t xml:space="preserve">At the end of </w:t>
      </w:r>
      <w:r>
        <w:rPr>
          <w:rFonts w:ascii="Palatino Linotype" w:eastAsia="Times New Roman" w:hAnsi="Palatino Linotype"/>
          <w:bCs/>
          <w:sz w:val="22"/>
          <w:szCs w:val="22"/>
          <w:lang w:val="en-US" w:eastAsia="en-GB"/>
        </w:rPr>
        <w:t>May</w:t>
      </w:r>
      <w:r w:rsidRPr="004D411D">
        <w:rPr>
          <w:rFonts w:ascii="Palatino Linotype" w:eastAsia="Times New Roman" w:hAnsi="Palatino Linotype"/>
          <w:bCs/>
          <w:sz w:val="22"/>
          <w:szCs w:val="22"/>
          <w:lang w:val="en-US" w:eastAsia="en-GB"/>
        </w:rPr>
        <w:t xml:space="preserve"> 2021, Japan was the biggest foreign holder of US Treasury Securities holding 17.</w:t>
      </w:r>
      <w:r>
        <w:rPr>
          <w:rFonts w:ascii="Palatino Linotype" w:eastAsia="Times New Roman" w:hAnsi="Palatino Linotype"/>
          <w:bCs/>
          <w:sz w:val="22"/>
          <w:szCs w:val="22"/>
          <w:lang w:val="en-US" w:eastAsia="en-GB"/>
        </w:rPr>
        <w:t>7</w:t>
      </w:r>
      <w:r w:rsidRPr="004D411D">
        <w:rPr>
          <w:rFonts w:ascii="Palatino Linotype" w:eastAsia="Times New Roman" w:hAnsi="Palatino Linotype"/>
          <w:bCs/>
          <w:sz w:val="22"/>
          <w:szCs w:val="22"/>
          <w:lang w:val="en-US" w:eastAsia="en-GB"/>
        </w:rPr>
        <w:t xml:space="preserve"> per cent of the total US treasury Securities followed by China with 15.</w:t>
      </w:r>
      <w:r>
        <w:rPr>
          <w:rFonts w:ascii="Palatino Linotype" w:eastAsia="Times New Roman" w:hAnsi="Palatino Linotype"/>
          <w:bCs/>
          <w:sz w:val="22"/>
          <w:szCs w:val="22"/>
          <w:lang w:val="en-US" w:eastAsia="en-GB"/>
        </w:rPr>
        <w:t>1</w:t>
      </w:r>
      <w:r w:rsidRPr="004D411D">
        <w:rPr>
          <w:rFonts w:ascii="Palatino Linotype" w:eastAsia="Times New Roman" w:hAnsi="Palatino Linotype"/>
          <w:bCs/>
          <w:sz w:val="22"/>
          <w:szCs w:val="22"/>
          <w:lang w:val="en-US" w:eastAsia="en-GB"/>
        </w:rPr>
        <w:t xml:space="preserve"> per cent. The total foreign holding of US Treasury Securities at the end of </w:t>
      </w:r>
      <w:r>
        <w:rPr>
          <w:rFonts w:ascii="Palatino Linotype" w:eastAsia="Times New Roman" w:hAnsi="Palatino Linotype"/>
          <w:bCs/>
          <w:sz w:val="22"/>
          <w:szCs w:val="22"/>
          <w:lang w:val="en-US" w:eastAsia="en-GB"/>
        </w:rPr>
        <w:t>May</w:t>
      </w:r>
      <w:r w:rsidRPr="004D411D">
        <w:rPr>
          <w:rFonts w:ascii="Palatino Linotype" w:eastAsia="Times New Roman" w:hAnsi="Palatino Linotype"/>
          <w:bCs/>
          <w:sz w:val="22"/>
          <w:szCs w:val="22"/>
          <w:lang w:val="en-US" w:eastAsia="en-GB"/>
        </w:rPr>
        <w:t xml:space="preserve"> 2021 was USD 7,</w:t>
      </w:r>
      <w:r>
        <w:rPr>
          <w:rFonts w:ascii="Palatino Linotype" w:eastAsia="Times New Roman" w:hAnsi="Palatino Linotype"/>
          <w:bCs/>
          <w:sz w:val="22"/>
          <w:szCs w:val="22"/>
          <w:lang w:val="en-US" w:eastAsia="en-GB"/>
        </w:rPr>
        <w:t>135</w:t>
      </w:r>
      <w:r w:rsidRPr="004D411D">
        <w:rPr>
          <w:rFonts w:ascii="Palatino Linotype" w:eastAsia="Times New Roman" w:hAnsi="Palatino Linotype"/>
          <w:bCs/>
          <w:sz w:val="22"/>
          <w:szCs w:val="22"/>
          <w:lang w:val="en-US" w:eastAsia="en-GB"/>
        </w:rPr>
        <w:t xml:space="preserve"> billion. The holdings of US Treasury Securities by India </w:t>
      </w:r>
      <w:r>
        <w:rPr>
          <w:rFonts w:ascii="Palatino Linotype" w:eastAsia="Times New Roman" w:hAnsi="Palatino Linotype"/>
          <w:bCs/>
          <w:sz w:val="22"/>
          <w:szCs w:val="22"/>
          <w:lang w:val="en-US" w:eastAsia="en-GB"/>
        </w:rPr>
        <w:t>remained at 3.0</w:t>
      </w:r>
      <w:r w:rsidRPr="004D411D">
        <w:rPr>
          <w:rFonts w:ascii="Palatino Linotype" w:eastAsia="Times New Roman" w:hAnsi="Palatino Linotype"/>
          <w:bCs/>
          <w:sz w:val="22"/>
          <w:szCs w:val="22"/>
          <w:lang w:val="en-US" w:eastAsia="en-GB"/>
        </w:rPr>
        <w:t xml:space="preserve"> per cent at the end of </w:t>
      </w:r>
      <w:r>
        <w:rPr>
          <w:rFonts w:ascii="Palatino Linotype" w:eastAsia="Times New Roman" w:hAnsi="Palatino Linotype"/>
          <w:bCs/>
          <w:sz w:val="22"/>
          <w:szCs w:val="22"/>
          <w:lang w:val="en-US" w:eastAsia="en-GB"/>
        </w:rPr>
        <w:t>May</w:t>
      </w:r>
      <w:r w:rsidRPr="004D411D">
        <w:rPr>
          <w:rFonts w:ascii="Palatino Linotype" w:eastAsia="Times New Roman" w:hAnsi="Palatino Linotype"/>
          <w:bCs/>
          <w:sz w:val="22"/>
          <w:szCs w:val="22"/>
          <w:lang w:val="en-US" w:eastAsia="en-GB"/>
        </w:rPr>
        <w:t xml:space="preserve"> 2021.</w:t>
      </w:r>
    </w:p>
    <w:p w:rsidR="003F4581" w:rsidRPr="0024165F" w:rsidRDefault="003F4581" w:rsidP="003F4581">
      <w:pPr>
        <w:rPr>
          <w:rFonts w:ascii="Garamond" w:hAnsi="Garamond"/>
          <w:b/>
          <w:bCs/>
          <w:szCs w:val="22"/>
        </w:rPr>
      </w:pPr>
    </w:p>
    <w:p w:rsidR="003F4581" w:rsidRPr="0024165F" w:rsidRDefault="003F4581" w:rsidP="003F4581">
      <w:pPr>
        <w:rPr>
          <w:rFonts w:ascii="Garamond" w:hAnsi="Garamond"/>
          <w:b/>
          <w:bCs/>
          <w:szCs w:val="22"/>
        </w:rPr>
      </w:pPr>
    </w:p>
    <w:p w:rsidR="003F4581" w:rsidRDefault="003F4581" w:rsidP="003F4581">
      <w:pPr>
        <w:rPr>
          <w:rFonts w:ascii="Garamond" w:hAnsi="Garamond"/>
          <w:b/>
          <w:bCs/>
          <w:szCs w:val="22"/>
        </w:rPr>
      </w:pPr>
    </w:p>
    <w:p w:rsidR="003F4581" w:rsidRPr="002A058E" w:rsidRDefault="003F4581" w:rsidP="003F4581">
      <w:pPr>
        <w:rPr>
          <w:rFonts w:ascii="Garamond" w:hAnsi="Garamond"/>
          <w:bCs/>
          <w:szCs w:val="22"/>
        </w:rPr>
      </w:pPr>
      <w:r w:rsidRPr="002A058E">
        <w:rPr>
          <w:rFonts w:ascii="Garamond" w:hAnsi="Garamond"/>
          <w:b/>
          <w:bCs/>
          <w:szCs w:val="22"/>
        </w:rPr>
        <w:t>Figure 5: Movement of the Major Currencies against USD</w:t>
      </w:r>
    </w:p>
    <w:p w:rsidR="003F4581" w:rsidRPr="002A058E" w:rsidRDefault="003F4581" w:rsidP="003F4581">
      <w:pPr>
        <w:spacing w:line="23" w:lineRule="atLeast"/>
        <w:jc w:val="both"/>
        <w:rPr>
          <w:rFonts w:ascii="Garamond" w:hAnsi="Garamond"/>
          <w:bCs/>
          <w:sz w:val="18"/>
          <w:szCs w:val="18"/>
        </w:rPr>
      </w:pPr>
      <w:r>
        <w:rPr>
          <w:rFonts w:ascii="Garamond" w:hAnsi="Garamond"/>
          <w:bCs/>
          <w:noProof/>
          <w:sz w:val="18"/>
          <w:szCs w:val="18"/>
          <w:lang w:val="en-IN" w:eastAsia="en-IN" w:bidi="hi-IN"/>
        </w:rPr>
        <w:drawing>
          <wp:inline distT="0" distB="0" distL="0" distR="0">
            <wp:extent cx="4959985" cy="31038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9985" cy="3103880"/>
                    </a:xfrm>
                    <a:prstGeom prst="rect">
                      <a:avLst/>
                    </a:prstGeom>
                    <a:noFill/>
                  </pic:spPr>
                </pic:pic>
              </a:graphicData>
            </a:graphic>
          </wp:inline>
        </w:drawing>
      </w:r>
    </w:p>
    <w:p w:rsidR="003F4581" w:rsidRPr="002A058E" w:rsidRDefault="003F4581" w:rsidP="003F4581">
      <w:pPr>
        <w:spacing w:line="23" w:lineRule="atLeast"/>
        <w:jc w:val="both"/>
        <w:rPr>
          <w:rFonts w:ascii="Garamond" w:hAnsi="Garamond"/>
          <w:bCs/>
          <w:sz w:val="18"/>
          <w:szCs w:val="18"/>
        </w:rPr>
      </w:pPr>
      <w:r w:rsidRPr="002A058E">
        <w:rPr>
          <w:rFonts w:ascii="Garamond" w:hAnsi="Garamond"/>
          <w:bCs/>
          <w:sz w:val="18"/>
          <w:szCs w:val="18"/>
        </w:rPr>
        <w:t xml:space="preserve">Note: All indices have been </w:t>
      </w:r>
      <w:r>
        <w:rPr>
          <w:rFonts w:ascii="Garamond" w:hAnsi="Garamond"/>
          <w:bCs/>
          <w:sz w:val="18"/>
          <w:szCs w:val="18"/>
        </w:rPr>
        <w:t xml:space="preserve">normalised to 100 on </w:t>
      </w:r>
      <w:r w:rsidRPr="00483369">
        <w:rPr>
          <w:rFonts w:ascii="Garamond" w:hAnsi="Garamond"/>
          <w:bCs/>
          <w:sz w:val="18"/>
          <w:szCs w:val="18"/>
        </w:rPr>
        <w:t xml:space="preserve">31 May </w:t>
      </w:r>
      <w:r>
        <w:rPr>
          <w:rFonts w:ascii="Garamond" w:hAnsi="Garamond"/>
          <w:bCs/>
          <w:sz w:val="18"/>
          <w:szCs w:val="18"/>
        </w:rPr>
        <w:t>2020</w:t>
      </w:r>
      <w:r w:rsidRPr="002A058E">
        <w:rPr>
          <w:rFonts w:ascii="Garamond" w:hAnsi="Garamond"/>
          <w:bCs/>
          <w:sz w:val="18"/>
          <w:szCs w:val="18"/>
        </w:rPr>
        <w:t>.</w:t>
      </w:r>
    </w:p>
    <w:p w:rsidR="003F4581" w:rsidRPr="002A058E" w:rsidRDefault="003F4581" w:rsidP="003F4581">
      <w:pPr>
        <w:spacing w:line="23" w:lineRule="atLeast"/>
        <w:outlineLvl w:val="0"/>
        <w:rPr>
          <w:rFonts w:ascii="Garamond" w:hAnsi="Garamond"/>
          <w:bCs/>
          <w:sz w:val="18"/>
          <w:szCs w:val="18"/>
        </w:rPr>
      </w:pPr>
      <w:r w:rsidRPr="002A058E">
        <w:rPr>
          <w:rFonts w:ascii="Garamond" w:hAnsi="Garamond"/>
          <w:bCs/>
          <w:sz w:val="18"/>
          <w:szCs w:val="18"/>
        </w:rPr>
        <w:t>Source: Refinitiv</w:t>
      </w:r>
    </w:p>
    <w:p w:rsidR="003F4581" w:rsidRPr="002A058E" w:rsidRDefault="003F4581" w:rsidP="003F4581">
      <w:pPr>
        <w:rPr>
          <w:rFonts w:ascii="Garamond" w:hAnsi="Garamond"/>
          <w:b/>
          <w:bCs/>
          <w:szCs w:val="22"/>
        </w:rPr>
      </w:pPr>
    </w:p>
    <w:p w:rsidR="003F4581" w:rsidRPr="002A058E" w:rsidRDefault="003F4581" w:rsidP="003F4581">
      <w:pPr>
        <w:rPr>
          <w:rFonts w:ascii="Garamond" w:hAnsi="Garamond"/>
          <w:b/>
          <w:bCs/>
          <w:szCs w:val="22"/>
        </w:rPr>
      </w:pPr>
    </w:p>
    <w:p w:rsidR="003F4581" w:rsidRPr="002A058E" w:rsidRDefault="003F4581" w:rsidP="003F4581">
      <w:pPr>
        <w:rPr>
          <w:rFonts w:ascii="Garamond" w:hAnsi="Garamond"/>
          <w:b/>
          <w:bCs/>
          <w:szCs w:val="22"/>
        </w:rPr>
      </w:pPr>
    </w:p>
    <w:p w:rsidR="003F4581" w:rsidRPr="002A058E" w:rsidRDefault="003F4581" w:rsidP="003F4581">
      <w:pPr>
        <w:rPr>
          <w:rFonts w:ascii="Garamond" w:hAnsi="Garamond"/>
          <w:b/>
          <w:bCs/>
          <w:szCs w:val="22"/>
        </w:rPr>
      </w:pPr>
    </w:p>
    <w:p w:rsidR="003F4581" w:rsidRPr="002A058E" w:rsidRDefault="003F4581" w:rsidP="003F4581">
      <w:pPr>
        <w:rPr>
          <w:rFonts w:ascii="Garamond" w:hAnsi="Garamond"/>
          <w:b/>
          <w:bCs/>
          <w:szCs w:val="22"/>
        </w:rPr>
      </w:pPr>
      <w:r>
        <w:rPr>
          <w:rFonts w:ascii="Garamond" w:hAnsi="Garamond"/>
          <w:b/>
          <w:bCs/>
          <w:szCs w:val="22"/>
        </w:rPr>
        <w:br w:type="page"/>
      </w:r>
      <w:r w:rsidRPr="002A058E">
        <w:rPr>
          <w:rFonts w:ascii="Garamond" w:hAnsi="Garamond"/>
          <w:b/>
          <w:bCs/>
          <w:szCs w:val="22"/>
        </w:rPr>
        <w:lastRenderedPageBreak/>
        <w:t>Figure 6: Movement of the US Dollar Index and MSCI EM Currency Index</w:t>
      </w:r>
    </w:p>
    <w:p w:rsidR="003F4581" w:rsidRPr="002A058E" w:rsidRDefault="003F4581" w:rsidP="003F4581">
      <w:pPr>
        <w:spacing w:line="23" w:lineRule="atLeast"/>
        <w:outlineLvl w:val="0"/>
        <w:rPr>
          <w:rFonts w:ascii="Garamond" w:hAnsi="Garamond"/>
          <w:bCs/>
          <w:sz w:val="22"/>
          <w:szCs w:val="22"/>
        </w:rPr>
      </w:pPr>
    </w:p>
    <w:p w:rsidR="003F4581" w:rsidRPr="002A058E" w:rsidRDefault="003F4581" w:rsidP="003F4581">
      <w:pPr>
        <w:spacing w:line="23" w:lineRule="atLeast"/>
        <w:outlineLvl w:val="0"/>
        <w:rPr>
          <w:rFonts w:ascii="Garamond" w:hAnsi="Garamond"/>
          <w:bCs/>
          <w:sz w:val="22"/>
          <w:szCs w:val="22"/>
        </w:rPr>
      </w:pPr>
      <w:r>
        <w:rPr>
          <w:rFonts w:ascii="Garamond" w:hAnsi="Garamond"/>
          <w:bCs/>
          <w:noProof/>
          <w:sz w:val="22"/>
          <w:szCs w:val="22"/>
          <w:lang w:val="en-IN" w:eastAsia="en-IN" w:bidi="hi-IN"/>
        </w:rPr>
        <w:drawing>
          <wp:inline distT="0" distB="0" distL="0" distR="0">
            <wp:extent cx="5175885" cy="280289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75885" cy="2802890"/>
                    </a:xfrm>
                    <a:prstGeom prst="rect">
                      <a:avLst/>
                    </a:prstGeom>
                    <a:noFill/>
                  </pic:spPr>
                </pic:pic>
              </a:graphicData>
            </a:graphic>
          </wp:inline>
        </w:drawing>
      </w:r>
    </w:p>
    <w:p w:rsidR="003F4581" w:rsidRPr="002A058E" w:rsidRDefault="003F4581" w:rsidP="003F4581">
      <w:pPr>
        <w:tabs>
          <w:tab w:val="left" w:pos="3760"/>
        </w:tabs>
        <w:spacing w:line="23" w:lineRule="atLeast"/>
        <w:rPr>
          <w:rFonts w:ascii="Garamond" w:hAnsi="Garamond"/>
          <w:bCs/>
          <w:sz w:val="18"/>
          <w:szCs w:val="18"/>
        </w:rPr>
      </w:pPr>
      <w:r w:rsidRPr="002A058E">
        <w:rPr>
          <w:rFonts w:ascii="Garamond" w:hAnsi="Garamond"/>
          <w:bCs/>
          <w:sz w:val="18"/>
          <w:szCs w:val="18"/>
        </w:rPr>
        <w:t>Note:</w:t>
      </w:r>
    </w:p>
    <w:p w:rsidR="003F4581" w:rsidRPr="002A058E" w:rsidRDefault="003F4581" w:rsidP="003F4581">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 xml:space="preserve">All indices have been </w:t>
      </w:r>
      <w:r>
        <w:rPr>
          <w:rFonts w:ascii="Garamond" w:eastAsia="Times New Roman" w:hAnsi="Garamond"/>
          <w:bCs/>
          <w:sz w:val="18"/>
          <w:szCs w:val="18"/>
        </w:rPr>
        <w:t xml:space="preserve">normalised to 100 on </w:t>
      </w:r>
      <w:r w:rsidRPr="00483369">
        <w:rPr>
          <w:rFonts w:ascii="Garamond" w:eastAsia="Times New Roman" w:hAnsi="Garamond"/>
          <w:bCs/>
          <w:sz w:val="18"/>
          <w:szCs w:val="18"/>
        </w:rPr>
        <w:t>31 May</w:t>
      </w:r>
      <w:r>
        <w:rPr>
          <w:rFonts w:ascii="Garamond" w:eastAsia="Times New Roman" w:hAnsi="Garamond"/>
          <w:bCs/>
          <w:sz w:val="18"/>
          <w:szCs w:val="18"/>
        </w:rPr>
        <w:t xml:space="preserve"> 2020</w:t>
      </w:r>
      <w:r w:rsidRPr="002A058E">
        <w:rPr>
          <w:rFonts w:ascii="Garamond" w:eastAsia="Times New Roman" w:hAnsi="Garamond"/>
          <w:bCs/>
          <w:sz w:val="18"/>
          <w:szCs w:val="18"/>
        </w:rPr>
        <w:t>.</w:t>
      </w:r>
    </w:p>
    <w:p w:rsidR="003F4581" w:rsidRPr="002A058E" w:rsidRDefault="003F4581" w:rsidP="003F4581">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3F4581" w:rsidRPr="002A058E" w:rsidRDefault="003F4581" w:rsidP="003F4581">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The MSCI Emerging Markets (EM) Currency Index tracks the performance of twenty-five emerging-market currencies relative to the US Dollar.</w:t>
      </w:r>
    </w:p>
    <w:p w:rsidR="003F4581" w:rsidRPr="002A058E" w:rsidRDefault="003F4581" w:rsidP="003F4581">
      <w:pPr>
        <w:spacing w:line="23" w:lineRule="atLeast"/>
        <w:outlineLvl w:val="0"/>
        <w:rPr>
          <w:rFonts w:ascii="Garamond" w:hAnsi="Garamond"/>
          <w:bCs/>
          <w:sz w:val="18"/>
          <w:szCs w:val="18"/>
        </w:rPr>
      </w:pPr>
      <w:r w:rsidRPr="002A058E">
        <w:rPr>
          <w:rFonts w:ascii="Garamond" w:hAnsi="Garamond"/>
          <w:bCs/>
          <w:sz w:val="18"/>
          <w:szCs w:val="18"/>
        </w:rPr>
        <w:t>Source: Refinitiv</w:t>
      </w:r>
    </w:p>
    <w:p w:rsidR="003F4581" w:rsidRPr="002A058E" w:rsidRDefault="003F4581" w:rsidP="003F4581">
      <w:pPr>
        <w:spacing w:after="240" w:line="23" w:lineRule="atLeast"/>
        <w:jc w:val="both"/>
        <w:rPr>
          <w:rFonts w:ascii="Garamond" w:eastAsia="Times New Roman" w:hAnsi="Garamond"/>
          <w:bCs/>
          <w:sz w:val="18"/>
          <w:szCs w:val="18"/>
          <w:lang w:eastAsia="en-GB"/>
        </w:rPr>
      </w:pPr>
    </w:p>
    <w:p w:rsidR="003F4581" w:rsidRPr="002A058E" w:rsidRDefault="003F4581" w:rsidP="003F4581">
      <w:pPr>
        <w:spacing w:after="240" w:line="23" w:lineRule="atLeast"/>
        <w:jc w:val="both"/>
        <w:rPr>
          <w:rFonts w:ascii="Garamond" w:eastAsia="Times New Roman" w:hAnsi="Garamond"/>
          <w:bCs/>
          <w:sz w:val="18"/>
          <w:szCs w:val="18"/>
          <w:lang w:eastAsia="en-GB"/>
        </w:rPr>
      </w:pPr>
    </w:p>
    <w:p w:rsidR="003F4581" w:rsidRPr="002A058E" w:rsidRDefault="003F4581" w:rsidP="003F4581">
      <w:pPr>
        <w:rPr>
          <w:rFonts w:ascii="Garamond" w:hAnsi="Garamond"/>
          <w:b/>
          <w:bCs/>
          <w:szCs w:val="22"/>
        </w:rPr>
      </w:pPr>
    </w:p>
    <w:p w:rsidR="003F4581" w:rsidRPr="00073FE2" w:rsidRDefault="003F4581" w:rsidP="003F4581">
      <w:pPr>
        <w:rPr>
          <w:rFonts w:ascii="Garamond" w:hAnsi="Garamond"/>
          <w:b/>
          <w:bCs/>
          <w:strike/>
          <w:szCs w:val="22"/>
        </w:rPr>
        <w:sectPr w:rsidR="003F4581" w:rsidRPr="00073FE2" w:rsidSect="00332F86">
          <w:headerReference w:type="even" r:id="rId44"/>
          <w:headerReference w:type="default" r:id="rId45"/>
          <w:footerReference w:type="even" r:id="rId46"/>
          <w:footerReference w:type="default" r:id="rId47"/>
          <w:pgSz w:w="11906" w:h="16838" w:code="9"/>
          <w:pgMar w:top="578" w:right="1009" w:bottom="578" w:left="1009" w:header="431" w:footer="431" w:gutter="0"/>
          <w:cols w:space="720"/>
          <w:docGrid w:linePitch="360"/>
        </w:sectPr>
      </w:pPr>
    </w:p>
    <w:p w:rsidR="003F4581" w:rsidRPr="001972CA" w:rsidRDefault="003F4581" w:rsidP="003F4581">
      <w:pPr>
        <w:rPr>
          <w:rFonts w:ascii="Garamond" w:hAnsi="Garamond"/>
          <w:b/>
          <w:bCs/>
          <w:szCs w:val="22"/>
        </w:rPr>
      </w:pPr>
      <w:r w:rsidRPr="001972CA">
        <w:rPr>
          <w:rFonts w:ascii="Garamond" w:hAnsi="Garamond"/>
          <w:b/>
          <w:bCs/>
          <w:szCs w:val="22"/>
        </w:rPr>
        <w:lastRenderedPageBreak/>
        <w:t>Table A1: Performance of Stock Indices</w:t>
      </w:r>
    </w:p>
    <w:tbl>
      <w:tblPr>
        <w:tblW w:w="15194" w:type="dxa"/>
        <w:tblLook w:val="04A0" w:firstRow="1" w:lastRow="0" w:firstColumn="1" w:lastColumn="0" w:noHBand="0" w:noVBand="1"/>
      </w:tblPr>
      <w:tblGrid>
        <w:gridCol w:w="1302"/>
        <w:gridCol w:w="3360"/>
        <w:gridCol w:w="2349"/>
        <w:gridCol w:w="1351"/>
        <w:gridCol w:w="1351"/>
        <w:gridCol w:w="1351"/>
        <w:gridCol w:w="1241"/>
        <w:gridCol w:w="1910"/>
        <w:gridCol w:w="979"/>
      </w:tblGrid>
      <w:tr w:rsidR="003F4581" w:rsidRPr="00ED3305" w:rsidTr="00320C82">
        <w:trPr>
          <w:trHeight w:val="252"/>
        </w:trPr>
        <w:tc>
          <w:tcPr>
            <w:tcW w:w="1302"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Country</w:t>
            </w:r>
          </w:p>
        </w:tc>
        <w:tc>
          <w:tcPr>
            <w:tcW w:w="3360"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Name of the Index</w:t>
            </w:r>
          </w:p>
        </w:tc>
        <w:tc>
          <w:tcPr>
            <w:tcW w:w="2349" w:type="dxa"/>
            <w:tcBorders>
              <w:top w:val="single" w:sz="8" w:space="0" w:color="auto"/>
              <w:left w:val="nil"/>
              <w:bottom w:val="nil"/>
              <w:right w:val="single" w:sz="8" w:space="0" w:color="auto"/>
            </w:tcBorders>
            <w:shd w:val="clear" w:color="000000" w:fill="B4C6E7"/>
            <w:noWrap/>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Closing Value as on</w:t>
            </w:r>
          </w:p>
        </w:tc>
        <w:tc>
          <w:tcPr>
            <w:tcW w:w="5294" w:type="dxa"/>
            <w:gridSpan w:val="4"/>
            <w:tcBorders>
              <w:top w:val="single" w:sz="8" w:space="0" w:color="auto"/>
              <w:left w:val="nil"/>
              <w:bottom w:val="single" w:sz="8" w:space="0" w:color="auto"/>
              <w:right w:val="single" w:sz="8" w:space="0" w:color="000000"/>
            </w:tcBorders>
            <w:shd w:val="clear" w:color="000000" w:fill="B4C6E7"/>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Closing Value before</w:t>
            </w:r>
          </w:p>
        </w:tc>
        <w:tc>
          <w:tcPr>
            <w:tcW w:w="1910"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Monthly Volatility (Annualised)</w:t>
            </w:r>
          </w:p>
        </w:tc>
        <w:tc>
          <w:tcPr>
            <w:tcW w:w="977"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P/E Ratio</w:t>
            </w:r>
          </w:p>
        </w:tc>
      </w:tr>
      <w:tr w:rsidR="003F4581" w:rsidRPr="00ED3305" w:rsidTr="00320C82">
        <w:trPr>
          <w:trHeight w:val="384"/>
        </w:trPr>
        <w:tc>
          <w:tcPr>
            <w:tcW w:w="1302" w:type="dxa"/>
            <w:vMerge/>
            <w:tcBorders>
              <w:top w:val="single" w:sz="8" w:space="0" w:color="auto"/>
              <w:left w:val="single" w:sz="8" w:space="0" w:color="auto"/>
              <w:bottom w:val="single" w:sz="8" w:space="0" w:color="000000"/>
              <w:right w:val="single" w:sz="8" w:space="0" w:color="auto"/>
            </w:tcBorders>
            <w:vAlign w:val="center"/>
            <w:hideMark/>
          </w:tcPr>
          <w:p w:rsidR="003F4581" w:rsidRPr="00D54EDE" w:rsidRDefault="003F4581" w:rsidP="00320C82">
            <w:pPr>
              <w:rPr>
                <w:rFonts w:ascii="Garamond" w:eastAsia="Times New Roman" w:hAnsi="Garamond" w:cs="Calibri"/>
                <w:b/>
                <w:bCs/>
                <w:color w:val="000000"/>
                <w:sz w:val="20"/>
                <w:szCs w:val="20"/>
                <w:lang w:val="en-IN" w:eastAsia="en-IN" w:bidi="hi-IN"/>
              </w:rPr>
            </w:pPr>
          </w:p>
        </w:tc>
        <w:tc>
          <w:tcPr>
            <w:tcW w:w="3360" w:type="dxa"/>
            <w:vMerge/>
            <w:tcBorders>
              <w:top w:val="single" w:sz="8" w:space="0" w:color="auto"/>
              <w:left w:val="single" w:sz="8" w:space="0" w:color="auto"/>
              <w:bottom w:val="single" w:sz="8" w:space="0" w:color="000000"/>
              <w:right w:val="single" w:sz="8" w:space="0" w:color="auto"/>
            </w:tcBorders>
            <w:vAlign w:val="center"/>
            <w:hideMark/>
          </w:tcPr>
          <w:p w:rsidR="003F4581" w:rsidRPr="00D54EDE" w:rsidRDefault="003F4581" w:rsidP="00320C82">
            <w:pPr>
              <w:rPr>
                <w:rFonts w:ascii="Garamond" w:eastAsia="Times New Roman" w:hAnsi="Garamond" w:cs="Calibri"/>
                <w:b/>
                <w:bCs/>
                <w:color w:val="000000"/>
                <w:sz w:val="20"/>
                <w:szCs w:val="20"/>
                <w:lang w:val="en-IN" w:eastAsia="en-IN" w:bidi="hi-IN"/>
              </w:rPr>
            </w:pPr>
          </w:p>
        </w:tc>
        <w:tc>
          <w:tcPr>
            <w:tcW w:w="2349" w:type="dxa"/>
            <w:tcBorders>
              <w:top w:val="nil"/>
              <w:left w:val="nil"/>
              <w:bottom w:val="single" w:sz="8" w:space="0" w:color="auto"/>
              <w:right w:val="single" w:sz="8" w:space="0" w:color="auto"/>
            </w:tcBorders>
            <w:shd w:val="clear" w:color="000000" w:fill="B4C6E7"/>
            <w:noWrap/>
            <w:hideMark/>
          </w:tcPr>
          <w:p w:rsidR="003F4581" w:rsidRPr="00875571" w:rsidRDefault="003F4581" w:rsidP="00320C82">
            <w:pPr>
              <w:jc w:val="center"/>
              <w:rPr>
                <w:rFonts w:ascii="Garamond" w:eastAsia="Times New Roman" w:hAnsi="Garamond" w:cs="Calibri"/>
                <w:b/>
                <w:bCs/>
                <w:color w:val="000000"/>
                <w:sz w:val="20"/>
                <w:szCs w:val="20"/>
                <w:lang w:val="en-IN" w:eastAsia="en-IN" w:bidi="hi-IN"/>
              </w:rPr>
            </w:pPr>
            <w:r w:rsidRPr="00875571">
              <w:rPr>
                <w:rFonts w:ascii="Garamond" w:eastAsia="Times New Roman" w:hAnsi="Garamond" w:cs="Calibri"/>
                <w:b/>
                <w:bCs/>
                <w:color w:val="000000"/>
                <w:sz w:val="20"/>
                <w:szCs w:val="20"/>
                <w:lang w:val="en-IN" w:eastAsia="en-IN" w:bidi="hi-IN"/>
              </w:rPr>
              <w:t>31-May-21</w:t>
            </w:r>
          </w:p>
        </w:tc>
        <w:tc>
          <w:tcPr>
            <w:tcW w:w="1351" w:type="dxa"/>
            <w:tcBorders>
              <w:top w:val="nil"/>
              <w:left w:val="nil"/>
              <w:bottom w:val="single" w:sz="8" w:space="0" w:color="auto"/>
              <w:right w:val="single" w:sz="8" w:space="0" w:color="auto"/>
            </w:tcBorders>
            <w:shd w:val="clear" w:color="000000" w:fill="B4C6E7"/>
            <w:noWrap/>
            <w:hideMark/>
          </w:tcPr>
          <w:p w:rsidR="003F4581" w:rsidRPr="00875571" w:rsidRDefault="003F4581" w:rsidP="00320C82">
            <w:pPr>
              <w:jc w:val="center"/>
              <w:rPr>
                <w:rFonts w:ascii="Garamond" w:eastAsia="Times New Roman" w:hAnsi="Garamond" w:cs="Calibri"/>
                <w:b/>
                <w:bCs/>
                <w:color w:val="000000"/>
                <w:sz w:val="20"/>
                <w:szCs w:val="20"/>
                <w:lang w:val="en-IN" w:eastAsia="en-IN" w:bidi="hi-IN"/>
              </w:rPr>
            </w:pPr>
            <w:r w:rsidRPr="00875571">
              <w:rPr>
                <w:rFonts w:ascii="Garamond" w:eastAsia="Times New Roman" w:hAnsi="Garamond" w:cs="Calibri"/>
                <w:b/>
                <w:bCs/>
                <w:color w:val="000000"/>
                <w:sz w:val="20"/>
                <w:szCs w:val="20"/>
                <w:lang w:val="en-IN" w:eastAsia="en-IN" w:bidi="hi-IN"/>
              </w:rPr>
              <w:t>1-Month</w:t>
            </w:r>
          </w:p>
        </w:tc>
        <w:tc>
          <w:tcPr>
            <w:tcW w:w="1351" w:type="dxa"/>
            <w:tcBorders>
              <w:top w:val="nil"/>
              <w:left w:val="nil"/>
              <w:bottom w:val="single" w:sz="8" w:space="0" w:color="auto"/>
              <w:right w:val="single" w:sz="8" w:space="0" w:color="auto"/>
            </w:tcBorders>
            <w:shd w:val="clear" w:color="000000" w:fill="B4C6E7"/>
            <w:noWrap/>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3-Month</w:t>
            </w:r>
          </w:p>
        </w:tc>
        <w:tc>
          <w:tcPr>
            <w:tcW w:w="1351" w:type="dxa"/>
            <w:tcBorders>
              <w:top w:val="nil"/>
              <w:left w:val="nil"/>
              <w:bottom w:val="single" w:sz="8" w:space="0" w:color="auto"/>
              <w:right w:val="single" w:sz="8" w:space="0" w:color="auto"/>
            </w:tcBorders>
            <w:shd w:val="clear" w:color="000000" w:fill="B4C6E7"/>
            <w:noWrap/>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6-Month</w:t>
            </w:r>
          </w:p>
        </w:tc>
        <w:tc>
          <w:tcPr>
            <w:tcW w:w="1239" w:type="dxa"/>
            <w:tcBorders>
              <w:top w:val="nil"/>
              <w:left w:val="nil"/>
              <w:bottom w:val="single" w:sz="8" w:space="0" w:color="auto"/>
              <w:right w:val="single" w:sz="8" w:space="0" w:color="auto"/>
            </w:tcBorders>
            <w:shd w:val="clear" w:color="000000" w:fill="B4C6E7"/>
            <w:noWrap/>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1-Year</w:t>
            </w:r>
          </w:p>
        </w:tc>
        <w:tc>
          <w:tcPr>
            <w:tcW w:w="1910" w:type="dxa"/>
            <w:vMerge/>
            <w:tcBorders>
              <w:top w:val="single" w:sz="8" w:space="0" w:color="auto"/>
              <w:left w:val="single" w:sz="8" w:space="0" w:color="auto"/>
              <w:bottom w:val="single" w:sz="8" w:space="0" w:color="000000"/>
              <w:right w:val="single" w:sz="8" w:space="0" w:color="auto"/>
            </w:tcBorders>
            <w:vAlign w:val="center"/>
            <w:hideMark/>
          </w:tcPr>
          <w:p w:rsidR="003F4581" w:rsidRPr="00D54EDE" w:rsidRDefault="003F4581" w:rsidP="00320C82">
            <w:pPr>
              <w:rPr>
                <w:rFonts w:ascii="Garamond" w:eastAsia="Times New Roman" w:hAnsi="Garamond" w:cs="Calibri"/>
                <w:b/>
                <w:bCs/>
                <w:color w:val="000000"/>
                <w:sz w:val="20"/>
                <w:szCs w:val="20"/>
                <w:lang w:val="en-IN" w:eastAsia="en-IN" w:bidi="hi-IN"/>
              </w:rPr>
            </w:pPr>
          </w:p>
        </w:tc>
        <w:tc>
          <w:tcPr>
            <w:tcW w:w="977" w:type="dxa"/>
            <w:vMerge/>
            <w:tcBorders>
              <w:top w:val="single" w:sz="8" w:space="0" w:color="auto"/>
              <w:left w:val="single" w:sz="8" w:space="0" w:color="auto"/>
              <w:bottom w:val="single" w:sz="8" w:space="0" w:color="000000"/>
              <w:right w:val="single" w:sz="8" w:space="0" w:color="auto"/>
            </w:tcBorders>
            <w:vAlign w:val="center"/>
            <w:hideMark/>
          </w:tcPr>
          <w:p w:rsidR="003F4581" w:rsidRPr="00D54EDE" w:rsidRDefault="003F4581" w:rsidP="00320C82">
            <w:pPr>
              <w:rPr>
                <w:rFonts w:ascii="Garamond" w:eastAsia="Times New Roman" w:hAnsi="Garamond" w:cs="Calibri"/>
                <w:b/>
                <w:bCs/>
                <w:color w:val="000000"/>
                <w:sz w:val="20"/>
                <w:szCs w:val="20"/>
                <w:lang w:val="en-IN" w:eastAsia="en-IN" w:bidi="hi-IN"/>
              </w:rPr>
            </w:pPr>
          </w:p>
        </w:tc>
      </w:tr>
      <w:tr w:rsidR="003F4581" w:rsidRPr="00ED3305" w:rsidTr="00320C82">
        <w:trPr>
          <w:trHeight w:val="252"/>
        </w:trPr>
        <w:tc>
          <w:tcPr>
            <w:tcW w:w="15194" w:type="dxa"/>
            <w:gridSpan w:val="9"/>
            <w:tcBorders>
              <w:top w:val="single" w:sz="8" w:space="0" w:color="auto"/>
              <w:left w:val="single" w:sz="8" w:space="0" w:color="auto"/>
              <w:bottom w:val="single" w:sz="8" w:space="0" w:color="auto"/>
              <w:right w:val="single" w:sz="8" w:space="0" w:color="000000"/>
            </w:tcBorders>
            <w:shd w:val="clear" w:color="000000" w:fill="D9E1F2"/>
            <w:noWrap/>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BRICS Nations</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Brazil</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BRAZIL IBOVESPA </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126215.7</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118893.8</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110035.2</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108893.3</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87402.6</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18.7</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13.6</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Russia</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RUSSIAN TRADED </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2070.5</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1919.7</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1837.2</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1632.6</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1678.0</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14.3</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12.0</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India</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Nifty 50</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15582.8</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14631.1</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14529.2</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12969.0</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9580.3</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14.0</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29.2</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India</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S&amp;P BSE SENSEX </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51937.4</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48782.4</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49100.0</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44149.7</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32424.1</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16.1</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31.3</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China</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SHANGHAI SE COMPOSITE</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3615.5</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3446.9</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3509.1</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3391.8</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2852.4</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12.1</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13.1</w:t>
            </w:r>
          </w:p>
        </w:tc>
      </w:tr>
      <w:tr w:rsidR="003F4581" w:rsidRPr="00ED3305" w:rsidTr="00320C82">
        <w:trPr>
          <w:trHeight w:val="252"/>
        </w:trPr>
        <w:tc>
          <w:tcPr>
            <w:tcW w:w="1302" w:type="dxa"/>
            <w:tcBorders>
              <w:top w:val="nil"/>
              <w:left w:val="single" w:sz="8" w:space="0" w:color="auto"/>
              <w:bottom w:val="single" w:sz="8" w:space="0" w:color="auto"/>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South Africa</w:t>
            </w:r>
          </w:p>
        </w:tc>
        <w:tc>
          <w:tcPr>
            <w:tcW w:w="3360" w:type="dxa"/>
            <w:tcBorders>
              <w:top w:val="nil"/>
              <w:left w:val="nil"/>
              <w:bottom w:val="single" w:sz="8" w:space="0" w:color="auto"/>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FTSE/JSE AFRICA ALL SHR</w:t>
            </w:r>
          </w:p>
        </w:tc>
        <w:tc>
          <w:tcPr>
            <w:tcW w:w="2349"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67964.0</w:t>
            </w:r>
          </w:p>
        </w:tc>
        <w:tc>
          <w:tcPr>
            <w:tcW w:w="1351"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66937.0</w:t>
            </w:r>
          </w:p>
        </w:tc>
        <w:tc>
          <w:tcPr>
            <w:tcW w:w="1351"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66138.1</w:t>
            </w:r>
          </w:p>
        </w:tc>
        <w:tc>
          <w:tcPr>
            <w:tcW w:w="1351"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57091.9</w:t>
            </w:r>
          </w:p>
        </w:tc>
        <w:tc>
          <w:tcPr>
            <w:tcW w:w="1239"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50483.0</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16.1</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16.8</w:t>
            </w:r>
          </w:p>
        </w:tc>
      </w:tr>
      <w:tr w:rsidR="003F4581" w:rsidRPr="00ED3305" w:rsidTr="00320C82">
        <w:trPr>
          <w:trHeight w:val="252"/>
        </w:trPr>
        <w:tc>
          <w:tcPr>
            <w:tcW w:w="15194" w:type="dxa"/>
            <w:gridSpan w:val="9"/>
            <w:tcBorders>
              <w:top w:val="single" w:sz="8" w:space="0" w:color="auto"/>
              <w:left w:val="single" w:sz="8" w:space="0" w:color="auto"/>
              <w:bottom w:val="single" w:sz="8" w:space="0" w:color="auto"/>
              <w:right w:val="single" w:sz="8" w:space="0" w:color="000000"/>
            </w:tcBorders>
            <w:shd w:val="clear" w:color="000000" w:fill="D9E1F2"/>
            <w:hideMark/>
          </w:tcPr>
          <w:p w:rsidR="003F4581" w:rsidRPr="00D54EDE" w:rsidRDefault="003F4581" w:rsidP="00320C82">
            <w:pPr>
              <w:jc w:val="center"/>
              <w:rPr>
                <w:rFonts w:ascii="Garamond" w:eastAsia="Times New Roman" w:hAnsi="Garamond" w:cs="Calibri"/>
                <w:b/>
                <w:bCs/>
                <w:color w:val="000000"/>
                <w:sz w:val="20"/>
                <w:szCs w:val="20"/>
                <w:lang w:val="en-IN" w:eastAsia="en-IN" w:bidi="hi-IN"/>
              </w:rPr>
            </w:pPr>
            <w:r w:rsidRPr="00D54EDE">
              <w:rPr>
                <w:rFonts w:ascii="Garamond" w:eastAsia="Times New Roman" w:hAnsi="Garamond" w:cs="Calibri"/>
                <w:b/>
                <w:bCs/>
                <w:color w:val="000000"/>
                <w:sz w:val="20"/>
                <w:szCs w:val="20"/>
                <w:lang w:val="en-IN" w:eastAsia="en-IN" w:bidi="hi-IN"/>
              </w:rPr>
              <w:t>Developed Markets</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USA</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NASDAQ COMPOSITE </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13748.7</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13962.7</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13192.3</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12198.7</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9489.9</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21.8</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NA</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USA</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DOW JONES INDUS. AVG</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34529.5</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33874.9</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30932.4</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29638.6</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25383.1</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15.2</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22.7</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France</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CAC 40 </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6447.2</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6269.5</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5703.2</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5518.6</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4695.4</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17.1</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27.2</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Germany</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DAX </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15421.1</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15135.9</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13786.3</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13291.2</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11586.9</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17.6</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18.8</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UK</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FTSE 100 </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7022.6</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6969.8</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6483.4</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6266.2</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6076.6</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17.7</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17.6</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Hong Kong</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HANG SENG </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29151.8</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28724.9</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28980.2</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26341.5</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22961.5</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16.0</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14.4</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South Korea</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KOSPI </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3203.9</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3147.9</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3013.0</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2591.3</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2029.6</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13.6</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NA</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Japan</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NIKKEI 225</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28860.1</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28812.6</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28966.0</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26433.6</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21877.9</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23.2</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17.1</w:t>
            </w:r>
          </w:p>
        </w:tc>
      </w:tr>
      <w:tr w:rsidR="003F4581" w:rsidRPr="00ED3305" w:rsidTr="00320C82">
        <w:trPr>
          <w:trHeight w:val="240"/>
        </w:trPr>
        <w:tc>
          <w:tcPr>
            <w:tcW w:w="1302" w:type="dxa"/>
            <w:tcBorders>
              <w:top w:val="nil"/>
              <w:left w:val="single" w:sz="8" w:space="0" w:color="auto"/>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Singapore</w:t>
            </w:r>
          </w:p>
        </w:tc>
        <w:tc>
          <w:tcPr>
            <w:tcW w:w="3360" w:type="dxa"/>
            <w:tcBorders>
              <w:top w:val="nil"/>
              <w:left w:val="nil"/>
              <w:bottom w:val="nil"/>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STRAITS TIMES  STI</w:t>
            </w:r>
          </w:p>
        </w:tc>
        <w:tc>
          <w:tcPr>
            <w:tcW w:w="234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3164.3</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3218.3</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2949.0</w:t>
            </w:r>
          </w:p>
        </w:tc>
        <w:tc>
          <w:tcPr>
            <w:tcW w:w="1351"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2806.0</w:t>
            </w:r>
          </w:p>
        </w:tc>
        <w:tc>
          <w:tcPr>
            <w:tcW w:w="1239"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2510.8</w:t>
            </w:r>
          </w:p>
        </w:tc>
        <w:tc>
          <w:tcPr>
            <w:tcW w:w="1910"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14.1</w:t>
            </w:r>
          </w:p>
        </w:tc>
        <w:tc>
          <w:tcPr>
            <w:tcW w:w="977" w:type="dxa"/>
            <w:tcBorders>
              <w:top w:val="nil"/>
              <w:left w:val="nil"/>
              <w:bottom w:val="nil"/>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13.8</w:t>
            </w:r>
          </w:p>
        </w:tc>
      </w:tr>
      <w:tr w:rsidR="003F4581" w:rsidRPr="00ED3305" w:rsidTr="00320C82">
        <w:trPr>
          <w:trHeight w:val="252"/>
        </w:trPr>
        <w:tc>
          <w:tcPr>
            <w:tcW w:w="1302" w:type="dxa"/>
            <w:tcBorders>
              <w:top w:val="nil"/>
              <w:left w:val="single" w:sz="8" w:space="0" w:color="auto"/>
              <w:bottom w:val="single" w:sz="8" w:space="0" w:color="auto"/>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20"/>
                <w:szCs w:val="20"/>
                <w:lang w:val="en-IN" w:eastAsia="en-IN" w:bidi="hi-IN"/>
              </w:rPr>
            </w:pPr>
            <w:r w:rsidRPr="00D54EDE">
              <w:rPr>
                <w:rFonts w:ascii="Garamond" w:eastAsia="Times New Roman" w:hAnsi="Garamond" w:cs="Calibri"/>
                <w:color w:val="000000"/>
                <w:sz w:val="20"/>
                <w:szCs w:val="20"/>
                <w:lang w:val="en-IN" w:eastAsia="en-IN" w:bidi="hi-IN"/>
              </w:rPr>
              <w:t>Taiwan</w:t>
            </w:r>
          </w:p>
        </w:tc>
        <w:tc>
          <w:tcPr>
            <w:tcW w:w="3360" w:type="dxa"/>
            <w:tcBorders>
              <w:top w:val="nil"/>
              <w:left w:val="nil"/>
              <w:bottom w:val="single" w:sz="8" w:space="0" w:color="auto"/>
              <w:right w:val="single" w:sz="8" w:space="0" w:color="auto"/>
            </w:tcBorders>
            <w:shd w:val="clear" w:color="000000" w:fill="D9E1F2"/>
            <w:noWrap/>
            <w:hideMark/>
          </w:tcPr>
          <w:p w:rsidR="003F4581" w:rsidRPr="00D54EDE" w:rsidRDefault="003F4581" w:rsidP="00320C82">
            <w:pPr>
              <w:rPr>
                <w:rFonts w:ascii="Garamond" w:eastAsia="Times New Roman" w:hAnsi="Garamond" w:cs="Calibri"/>
                <w:color w:val="000000"/>
                <w:sz w:val="18"/>
                <w:szCs w:val="18"/>
                <w:lang w:val="en-IN" w:eastAsia="en-IN" w:bidi="hi-IN"/>
              </w:rPr>
            </w:pPr>
            <w:r w:rsidRPr="00D54EDE">
              <w:rPr>
                <w:rFonts w:ascii="Garamond" w:eastAsia="Times New Roman" w:hAnsi="Garamond" w:cs="Calibri"/>
                <w:color w:val="000000"/>
                <w:sz w:val="18"/>
                <w:szCs w:val="18"/>
                <w:lang w:val="en-IN" w:eastAsia="en-IN" w:bidi="hi-IN"/>
              </w:rPr>
              <w:t xml:space="preserve">TAIWAN TAIEX </w:t>
            </w:r>
          </w:p>
        </w:tc>
        <w:tc>
          <w:tcPr>
            <w:tcW w:w="2349"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17068.4</w:t>
            </w:r>
          </w:p>
        </w:tc>
        <w:tc>
          <w:tcPr>
            <w:tcW w:w="1351"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17566.7</w:t>
            </w:r>
          </w:p>
        </w:tc>
        <w:tc>
          <w:tcPr>
            <w:tcW w:w="1351"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15953.8</w:t>
            </w:r>
          </w:p>
        </w:tc>
        <w:tc>
          <w:tcPr>
            <w:tcW w:w="1351"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13722.9</w:t>
            </w:r>
          </w:p>
        </w:tc>
        <w:tc>
          <w:tcPr>
            <w:tcW w:w="1239"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10942.2</w:t>
            </w:r>
          </w:p>
        </w:tc>
        <w:tc>
          <w:tcPr>
            <w:tcW w:w="1910"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34.8</w:t>
            </w:r>
          </w:p>
        </w:tc>
        <w:tc>
          <w:tcPr>
            <w:tcW w:w="977" w:type="dxa"/>
            <w:tcBorders>
              <w:top w:val="nil"/>
              <w:left w:val="nil"/>
              <w:bottom w:val="single" w:sz="8" w:space="0" w:color="auto"/>
              <w:right w:val="single" w:sz="8" w:space="0" w:color="auto"/>
            </w:tcBorders>
            <w:shd w:val="clear" w:color="auto" w:fill="auto"/>
            <w:noWrap/>
            <w:hideMark/>
          </w:tcPr>
          <w:p w:rsidR="003F4581" w:rsidRPr="00D54EDE" w:rsidRDefault="003F4581" w:rsidP="00320C82">
            <w:pPr>
              <w:ind w:firstLineChars="100" w:firstLine="200"/>
              <w:jc w:val="right"/>
              <w:rPr>
                <w:rFonts w:ascii="Garamond" w:eastAsia="Times New Roman" w:hAnsi="Garamond" w:cs="Calibri"/>
                <w:sz w:val="20"/>
                <w:szCs w:val="20"/>
                <w:lang w:val="en-IN" w:eastAsia="en-IN" w:bidi="hi-IN"/>
              </w:rPr>
            </w:pPr>
            <w:r w:rsidRPr="00D54EDE">
              <w:rPr>
                <w:rFonts w:ascii="Garamond" w:eastAsia="Times New Roman" w:hAnsi="Garamond" w:cs="Calibri"/>
                <w:sz w:val="20"/>
                <w:szCs w:val="20"/>
                <w:lang w:val="en-IN" w:eastAsia="en-IN" w:bidi="hi-IN"/>
              </w:rPr>
              <w:t>17.3</w:t>
            </w:r>
          </w:p>
        </w:tc>
      </w:tr>
    </w:tbl>
    <w:p w:rsidR="003F4581" w:rsidRDefault="003F4581" w:rsidP="003F4581">
      <w:pPr>
        <w:spacing w:line="23" w:lineRule="atLeast"/>
        <w:jc w:val="both"/>
        <w:rPr>
          <w:rFonts w:ascii="Garamond" w:hAnsi="Garamond"/>
          <w:bCs/>
          <w:sz w:val="18"/>
          <w:szCs w:val="18"/>
        </w:rPr>
      </w:pPr>
    </w:p>
    <w:p w:rsidR="003F4581" w:rsidRPr="001972CA" w:rsidRDefault="003F4581" w:rsidP="003F4581">
      <w:pPr>
        <w:spacing w:line="23" w:lineRule="atLeast"/>
        <w:jc w:val="both"/>
        <w:rPr>
          <w:rFonts w:ascii="Garamond" w:hAnsi="Garamond"/>
          <w:bCs/>
          <w:sz w:val="18"/>
          <w:szCs w:val="18"/>
        </w:rPr>
      </w:pPr>
      <w:r w:rsidRPr="001972CA">
        <w:rPr>
          <w:rFonts w:ascii="Garamond" w:hAnsi="Garamond"/>
          <w:bCs/>
          <w:sz w:val="18"/>
          <w:szCs w:val="18"/>
        </w:rPr>
        <w:t xml:space="preserve"> Note: </w:t>
      </w:r>
      <w:r>
        <w:rPr>
          <w:rFonts w:ascii="Garamond" w:hAnsi="Garamond"/>
          <w:bCs/>
          <w:sz w:val="18"/>
          <w:szCs w:val="18"/>
        </w:rPr>
        <w:t xml:space="preserve">* </w:t>
      </w:r>
      <w:r w:rsidRPr="001972CA">
        <w:rPr>
          <w:rFonts w:ascii="Garamond" w:hAnsi="Garamond"/>
          <w:bCs/>
          <w:sz w:val="18"/>
          <w:szCs w:val="18"/>
        </w:rPr>
        <w:t xml:space="preserve">P/E Ratios as on the last trading day of month. Trailing PE ratio has been used from Refinitiv for all Indices apart from Sensex, Nifty 50, Kospi, Nikkei and Taiwan Taiex. Data for Sensex and Nifty was taken from respective exchange website. </w:t>
      </w:r>
      <w:r w:rsidRPr="005D4199">
        <w:rPr>
          <w:rFonts w:ascii="Garamond" w:hAnsi="Garamond"/>
          <w:bCs/>
          <w:sz w:val="18"/>
          <w:szCs w:val="18"/>
        </w:rPr>
        <w:t xml:space="preserve">Refinitiv </w:t>
      </w:r>
      <w:r w:rsidRPr="001972CA">
        <w:rPr>
          <w:rFonts w:ascii="Garamond" w:hAnsi="Garamond"/>
          <w:bCs/>
          <w:sz w:val="18"/>
          <w:szCs w:val="18"/>
        </w:rPr>
        <w:t xml:space="preserve">data is as on </w:t>
      </w:r>
      <w:r>
        <w:rPr>
          <w:rFonts w:ascii="Garamond" w:hAnsi="Garamond"/>
          <w:bCs/>
          <w:sz w:val="18"/>
          <w:szCs w:val="18"/>
          <w:lang w:val="en-US"/>
        </w:rPr>
        <w:t xml:space="preserve">05 July </w:t>
      </w:r>
      <w:r w:rsidRPr="001972CA">
        <w:rPr>
          <w:rFonts w:ascii="Garamond" w:hAnsi="Garamond"/>
          <w:bCs/>
          <w:sz w:val="18"/>
          <w:szCs w:val="18"/>
          <w:lang w:val="en-US"/>
        </w:rPr>
        <w:t>2021</w:t>
      </w:r>
      <w:r>
        <w:rPr>
          <w:rFonts w:ascii="Garamond" w:hAnsi="Garamond"/>
          <w:bCs/>
          <w:sz w:val="18"/>
          <w:szCs w:val="18"/>
          <w:lang w:val="en-US"/>
        </w:rPr>
        <w:t>.</w:t>
      </w:r>
    </w:p>
    <w:p w:rsidR="003F4581" w:rsidRDefault="003F4581" w:rsidP="003F4581">
      <w:pPr>
        <w:spacing w:line="23" w:lineRule="atLeast"/>
        <w:jc w:val="both"/>
        <w:rPr>
          <w:rFonts w:ascii="Garamond" w:hAnsi="Garamond"/>
          <w:bCs/>
          <w:sz w:val="18"/>
          <w:szCs w:val="18"/>
        </w:rPr>
      </w:pPr>
      <w:r w:rsidRPr="001972CA">
        <w:rPr>
          <w:rFonts w:ascii="Garamond" w:hAnsi="Garamond"/>
          <w:bCs/>
          <w:sz w:val="18"/>
          <w:szCs w:val="18"/>
        </w:rPr>
        <w:t xml:space="preserve">Source: Refinitiv, BSE and National Stock Exchange </w:t>
      </w:r>
    </w:p>
    <w:p w:rsidR="003F4581" w:rsidRPr="00073FE2" w:rsidRDefault="003F4581" w:rsidP="003F4581">
      <w:pPr>
        <w:spacing w:line="23" w:lineRule="atLeast"/>
        <w:rPr>
          <w:rFonts w:ascii="Garamond" w:hAnsi="Garamond"/>
          <w:b/>
          <w:bCs/>
          <w:strike/>
          <w:szCs w:val="22"/>
        </w:rPr>
        <w:sectPr w:rsidR="003F4581" w:rsidRPr="00073FE2" w:rsidSect="00320C82">
          <w:pgSz w:w="16838" w:h="11906" w:orient="landscape" w:code="9"/>
          <w:pgMar w:top="1009" w:right="578" w:bottom="1009" w:left="578" w:header="431" w:footer="431" w:gutter="0"/>
          <w:cols w:space="720"/>
          <w:docGrid w:linePitch="360"/>
        </w:sectPr>
      </w:pPr>
    </w:p>
    <w:p w:rsidR="003F4581" w:rsidRPr="00E25198" w:rsidRDefault="003F4581" w:rsidP="003F4581">
      <w:pPr>
        <w:spacing w:line="23" w:lineRule="atLeast"/>
        <w:jc w:val="both"/>
        <w:rPr>
          <w:rFonts w:ascii="Garamond" w:hAnsi="Garamond"/>
          <w:b/>
          <w:bCs/>
          <w:szCs w:val="22"/>
        </w:rPr>
      </w:pPr>
    </w:p>
    <w:p w:rsidR="003F4581" w:rsidRPr="00E25198" w:rsidRDefault="003F4581" w:rsidP="003F4581">
      <w:pPr>
        <w:spacing w:line="23" w:lineRule="atLeast"/>
        <w:jc w:val="both"/>
        <w:rPr>
          <w:rFonts w:ascii="Garamond" w:hAnsi="Garamond"/>
          <w:b/>
          <w:bCs/>
          <w:szCs w:val="22"/>
        </w:rPr>
      </w:pPr>
      <w:r w:rsidRPr="00E25198">
        <w:rPr>
          <w:rFonts w:ascii="Garamond" w:hAnsi="Garamond"/>
          <w:b/>
          <w:bCs/>
          <w:szCs w:val="22"/>
        </w:rPr>
        <w:t>Table A2: Fund Mobilisation by Issuance of Equity and Bond in Major Exchanges (USD million)</w:t>
      </w:r>
    </w:p>
    <w:tbl>
      <w:tblPr>
        <w:tblW w:w="10386" w:type="dxa"/>
        <w:tblLook w:val="04A0" w:firstRow="1" w:lastRow="0" w:firstColumn="1" w:lastColumn="0" w:noHBand="0" w:noVBand="1"/>
      </w:tblPr>
      <w:tblGrid>
        <w:gridCol w:w="3640"/>
        <w:gridCol w:w="1124"/>
        <w:gridCol w:w="1124"/>
        <w:gridCol w:w="1125"/>
        <w:gridCol w:w="1124"/>
        <w:gridCol w:w="1124"/>
        <w:gridCol w:w="1125"/>
      </w:tblGrid>
      <w:tr w:rsidR="003F4581" w:rsidRPr="00FA6024" w:rsidTr="00320C82">
        <w:trPr>
          <w:trHeight w:val="275"/>
        </w:trPr>
        <w:tc>
          <w:tcPr>
            <w:tcW w:w="3640" w:type="dxa"/>
            <w:tcBorders>
              <w:top w:val="single" w:sz="8" w:space="0" w:color="auto"/>
              <w:left w:val="single" w:sz="8" w:space="0" w:color="auto"/>
              <w:bottom w:val="nil"/>
              <w:right w:val="single" w:sz="8" w:space="0" w:color="auto"/>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Month</w:t>
            </w:r>
          </w:p>
        </w:tc>
        <w:tc>
          <w:tcPr>
            <w:tcW w:w="3373" w:type="dxa"/>
            <w:gridSpan w:val="3"/>
            <w:tcBorders>
              <w:top w:val="single" w:sz="8" w:space="0" w:color="auto"/>
              <w:left w:val="nil"/>
              <w:bottom w:val="nil"/>
              <w:right w:val="single" w:sz="8" w:space="0" w:color="000000"/>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Mar-21</w:t>
            </w:r>
          </w:p>
        </w:tc>
        <w:tc>
          <w:tcPr>
            <w:tcW w:w="3373" w:type="dxa"/>
            <w:gridSpan w:val="3"/>
            <w:tcBorders>
              <w:top w:val="single" w:sz="8" w:space="0" w:color="auto"/>
              <w:left w:val="nil"/>
              <w:bottom w:val="nil"/>
              <w:right w:val="single" w:sz="8" w:space="0" w:color="000000"/>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Apr-21</w:t>
            </w:r>
          </w:p>
        </w:tc>
      </w:tr>
      <w:tr w:rsidR="003F4581" w:rsidRPr="00FA6024" w:rsidTr="00320C82">
        <w:trPr>
          <w:trHeight w:val="262"/>
        </w:trPr>
        <w:tc>
          <w:tcPr>
            <w:tcW w:w="3640" w:type="dxa"/>
            <w:tcBorders>
              <w:top w:val="single" w:sz="4" w:space="0" w:color="auto"/>
              <w:left w:val="single" w:sz="4" w:space="0" w:color="auto"/>
              <w:bottom w:val="single" w:sz="4" w:space="0" w:color="auto"/>
              <w:right w:val="single" w:sz="4" w:space="0" w:color="auto"/>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Exchange Name</w:t>
            </w:r>
          </w:p>
        </w:tc>
        <w:tc>
          <w:tcPr>
            <w:tcW w:w="1124" w:type="dxa"/>
            <w:tcBorders>
              <w:top w:val="single" w:sz="4" w:space="0" w:color="auto"/>
              <w:left w:val="nil"/>
              <w:bottom w:val="single" w:sz="4" w:space="0" w:color="auto"/>
              <w:right w:val="single" w:sz="4" w:space="0" w:color="auto"/>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Bond</w:t>
            </w:r>
          </w:p>
        </w:tc>
        <w:tc>
          <w:tcPr>
            <w:tcW w:w="1124" w:type="dxa"/>
            <w:tcBorders>
              <w:top w:val="single" w:sz="4" w:space="0" w:color="auto"/>
              <w:left w:val="nil"/>
              <w:bottom w:val="single" w:sz="4" w:space="0" w:color="auto"/>
              <w:right w:val="single" w:sz="4" w:space="0" w:color="auto"/>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Equity</w:t>
            </w:r>
          </w:p>
        </w:tc>
        <w:tc>
          <w:tcPr>
            <w:tcW w:w="1125" w:type="dxa"/>
            <w:tcBorders>
              <w:top w:val="single" w:sz="4" w:space="0" w:color="auto"/>
              <w:left w:val="nil"/>
              <w:bottom w:val="single" w:sz="4" w:space="0" w:color="auto"/>
              <w:right w:val="single" w:sz="4" w:space="0" w:color="auto"/>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Total</w:t>
            </w:r>
          </w:p>
        </w:tc>
        <w:tc>
          <w:tcPr>
            <w:tcW w:w="1124" w:type="dxa"/>
            <w:tcBorders>
              <w:top w:val="single" w:sz="4" w:space="0" w:color="auto"/>
              <w:left w:val="nil"/>
              <w:bottom w:val="single" w:sz="4" w:space="0" w:color="auto"/>
              <w:right w:val="single" w:sz="4" w:space="0" w:color="auto"/>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Bond</w:t>
            </w:r>
          </w:p>
        </w:tc>
        <w:tc>
          <w:tcPr>
            <w:tcW w:w="1124" w:type="dxa"/>
            <w:tcBorders>
              <w:top w:val="single" w:sz="4" w:space="0" w:color="auto"/>
              <w:left w:val="nil"/>
              <w:bottom w:val="single" w:sz="4" w:space="0" w:color="auto"/>
              <w:right w:val="single" w:sz="4" w:space="0" w:color="auto"/>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Equity</w:t>
            </w:r>
          </w:p>
        </w:tc>
        <w:tc>
          <w:tcPr>
            <w:tcW w:w="1125" w:type="dxa"/>
            <w:tcBorders>
              <w:top w:val="single" w:sz="4" w:space="0" w:color="auto"/>
              <w:left w:val="nil"/>
              <w:bottom w:val="single" w:sz="4" w:space="0" w:color="auto"/>
              <w:right w:val="single" w:sz="4" w:space="0" w:color="auto"/>
            </w:tcBorders>
            <w:shd w:val="clear" w:color="000000" w:fill="2F5496"/>
            <w:vAlign w:val="center"/>
            <w:hideMark/>
          </w:tcPr>
          <w:p w:rsidR="003F4581" w:rsidRPr="00FA6024" w:rsidRDefault="003F4581" w:rsidP="00320C82">
            <w:pPr>
              <w:jc w:val="center"/>
              <w:rPr>
                <w:rFonts w:ascii="Garamond" w:eastAsia="Times New Roman" w:hAnsi="Garamond" w:cs="Calibri"/>
                <w:b/>
                <w:bCs/>
                <w:color w:val="FFFFFF"/>
                <w:sz w:val="20"/>
                <w:szCs w:val="20"/>
                <w:lang w:val="en-IN" w:eastAsia="en-IN" w:bidi="hi-IN"/>
              </w:rPr>
            </w:pPr>
            <w:r w:rsidRPr="00FA6024">
              <w:rPr>
                <w:rFonts w:ascii="Garamond" w:eastAsia="Times New Roman" w:hAnsi="Garamond" w:cs="Calibri"/>
                <w:b/>
                <w:bCs/>
                <w:color w:val="FFFFFF"/>
                <w:sz w:val="20"/>
                <w:szCs w:val="20"/>
                <w:lang w:val="en-IN" w:eastAsia="en-IN" w:bidi="hi-IN"/>
              </w:rPr>
              <w:t>Total</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FA6024" w:rsidRDefault="003F4581" w:rsidP="00320C82">
            <w:pPr>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NYSE</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NA</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13,117</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13,117</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NA</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3,840</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3,840</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FA6024" w:rsidRDefault="003F4581" w:rsidP="00320C82">
            <w:pPr>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ASX Australian Securities Exchange</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NA</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4,903</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4,903</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NA</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4,681</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4,681</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FA6024" w:rsidRDefault="003F4581" w:rsidP="00320C82">
            <w:pPr>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Hong Kong Exchanges and Clearing</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11,639</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12,186</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23,825</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24,892</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12,614</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37,506</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875571" w:rsidRDefault="003F4581" w:rsidP="00320C82">
            <w:pPr>
              <w:rPr>
                <w:rFonts w:ascii="Garamond" w:eastAsia="Times New Roman" w:hAnsi="Garamond" w:cs="Calibri"/>
                <w:color w:val="000000"/>
                <w:sz w:val="20"/>
                <w:szCs w:val="20"/>
                <w:lang w:val="en-IN" w:eastAsia="en-IN" w:bidi="hi-IN"/>
              </w:rPr>
            </w:pPr>
            <w:r w:rsidRPr="00875571">
              <w:rPr>
                <w:rFonts w:ascii="Garamond" w:eastAsia="Times New Roman" w:hAnsi="Garamond" w:cs="Calibri"/>
                <w:color w:val="000000"/>
                <w:sz w:val="20"/>
                <w:szCs w:val="20"/>
                <w:lang w:val="en-IN" w:eastAsia="en-IN" w:bidi="hi-IN"/>
              </w:rPr>
              <w:t>Japan Exchange Group</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8,047</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4,104</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12,151</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8,428</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1,303</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9,731</w:t>
            </w:r>
          </w:p>
        </w:tc>
      </w:tr>
      <w:tr w:rsidR="003F4581" w:rsidRPr="00FA6024" w:rsidTr="00320C82">
        <w:trPr>
          <w:trHeight w:val="262"/>
        </w:trPr>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581" w:rsidRPr="00875571" w:rsidRDefault="003F4581" w:rsidP="00320C82">
            <w:pPr>
              <w:rPr>
                <w:rFonts w:ascii="Garamond" w:eastAsia="Times New Roman" w:hAnsi="Garamond" w:cs="Calibri"/>
                <w:sz w:val="20"/>
                <w:szCs w:val="20"/>
                <w:lang w:val="en-IN" w:eastAsia="en-IN" w:bidi="hi-IN"/>
              </w:rPr>
            </w:pPr>
            <w:r w:rsidRPr="00875571">
              <w:rPr>
                <w:rFonts w:ascii="Garamond" w:eastAsia="Times New Roman" w:hAnsi="Garamond" w:cs="Calibri"/>
                <w:sz w:val="20"/>
                <w:szCs w:val="20"/>
                <w:lang w:val="en-IN" w:eastAsia="en-IN" w:bidi="hi-IN"/>
              </w:rPr>
              <w:t>Korea Exchange</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60,339</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1,148</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61,488</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68,913</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113</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69,026</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875571" w:rsidRDefault="003F4581" w:rsidP="00320C82">
            <w:pPr>
              <w:rPr>
                <w:rFonts w:ascii="Garamond" w:eastAsia="Times New Roman" w:hAnsi="Garamond" w:cs="Calibri"/>
                <w:color w:val="000000"/>
                <w:sz w:val="20"/>
                <w:szCs w:val="20"/>
                <w:lang w:val="en-IN" w:eastAsia="en-IN" w:bidi="hi-IN"/>
              </w:rPr>
            </w:pPr>
            <w:r w:rsidRPr="00875571">
              <w:rPr>
                <w:rFonts w:ascii="Garamond" w:eastAsia="Times New Roman" w:hAnsi="Garamond" w:cs="Calibri"/>
                <w:color w:val="000000"/>
                <w:sz w:val="20"/>
                <w:szCs w:val="20"/>
                <w:lang w:val="en-IN" w:eastAsia="en-IN" w:bidi="hi-IN"/>
              </w:rPr>
              <w:t>National Stock Exchange of India</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54,302</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0</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54,302</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35,374</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1,472</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36,846</w:t>
            </w:r>
          </w:p>
        </w:tc>
      </w:tr>
      <w:tr w:rsidR="003F4581" w:rsidRPr="00FA6024" w:rsidTr="00320C82">
        <w:trPr>
          <w:trHeight w:val="262"/>
        </w:trPr>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581" w:rsidRPr="00875571" w:rsidRDefault="003F4581" w:rsidP="00320C82">
            <w:pPr>
              <w:rPr>
                <w:rFonts w:ascii="Garamond" w:eastAsia="Times New Roman" w:hAnsi="Garamond" w:cs="Calibri"/>
                <w:sz w:val="20"/>
                <w:szCs w:val="20"/>
                <w:lang w:val="en-IN" w:eastAsia="en-IN" w:bidi="hi-IN"/>
              </w:rPr>
            </w:pPr>
            <w:r w:rsidRPr="00875571">
              <w:rPr>
                <w:rFonts w:ascii="Garamond" w:eastAsia="Times New Roman" w:hAnsi="Garamond" w:cs="Calibri"/>
                <w:sz w:val="20"/>
                <w:szCs w:val="20"/>
                <w:lang w:val="en-IN" w:eastAsia="en-IN" w:bidi="hi-IN"/>
              </w:rPr>
              <w:t>Shanghai Stock Exchange</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67,765</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12,441</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80,206</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67,908</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7,217</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75,124</w:t>
            </w:r>
          </w:p>
        </w:tc>
      </w:tr>
      <w:tr w:rsidR="003F4581" w:rsidRPr="00FA6024" w:rsidTr="00320C82">
        <w:trPr>
          <w:trHeight w:val="262"/>
        </w:trPr>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581" w:rsidRPr="00875571" w:rsidRDefault="003F4581" w:rsidP="00320C82">
            <w:pPr>
              <w:rPr>
                <w:rFonts w:ascii="Garamond" w:eastAsia="Times New Roman" w:hAnsi="Garamond" w:cs="Calibri"/>
                <w:sz w:val="20"/>
                <w:szCs w:val="20"/>
                <w:lang w:val="en-IN" w:eastAsia="en-IN" w:bidi="hi-IN"/>
              </w:rPr>
            </w:pPr>
            <w:r w:rsidRPr="00875571">
              <w:rPr>
                <w:rFonts w:ascii="Garamond" w:eastAsia="Times New Roman" w:hAnsi="Garamond" w:cs="Calibri"/>
                <w:sz w:val="20"/>
                <w:szCs w:val="20"/>
                <w:lang w:val="en-IN" w:eastAsia="en-IN" w:bidi="hi-IN"/>
              </w:rPr>
              <w:t>Shenzhen Stock Exchange</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14,747</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6,039</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20,786</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45,123</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8,516</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53,639</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875571" w:rsidRDefault="003F4581" w:rsidP="00320C82">
            <w:pPr>
              <w:rPr>
                <w:rFonts w:ascii="Garamond" w:eastAsia="Times New Roman" w:hAnsi="Garamond" w:cs="Calibri"/>
                <w:color w:val="000000"/>
                <w:sz w:val="20"/>
                <w:szCs w:val="20"/>
                <w:lang w:val="en-IN" w:eastAsia="en-IN" w:bidi="hi-IN"/>
              </w:rPr>
            </w:pPr>
            <w:r w:rsidRPr="00875571">
              <w:rPr>
                <w:rFonts w:ascii="Garamond" w:eastAsia="Times New Roman" w:hAnsi="Garamond" w:cs="Calibri"/>
                <w:color w:val="000000"/>
                <w:sz w:val="20"/>
                <w:szCs w:val="20"/>
                <w:lang w:val="en-IN" w:eastAsia="en-IN" w:bidi="hi-IN"/>
              </w:rPr>
              <w:t>Singapore Exchange</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37,198</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20</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37,218</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28,165</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913</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29,078</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875571" w:rsidRDefault="003F4581" w:rsidP="00320C82">
            <w:pPr>
              <w:rPr>
                <w:rFonts w:ascii="Garamond" w:eastAsia="Times New Roman" w:hAnsi="Garamond" w:cs="Calibri"/>
                <w:color w:val="000000"/>
                <w:sz w:val="20"/>
                <w:szCs w:val="20"/>
                <w:lang w:val="en-IN" w:eastAsia="en-IN" w:bidi="hi-IN"/>
              </w:rPr>
            </w:pPr>
            <w:r w:rsidRPr="00875571">
              <w:rPr>
                <w:rFonts w:ascii="Garamond" w:eastAsia="Times New Roman" w:hAnsi="Garamond" w:cs="Calibri"/>
                <w:color w:val="000000"/>
                <w:sz w:val="20"/>
                <w:szCs w:val="20"/>
                <w:lang w:val="en-IN" w:eastAsia="en-IN" w:bidi="hi-IN"/>
              </w:rPr>
              <w:t>BME Spanish Exchanges</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47,336</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6,527</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53,863</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41,974</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10,870</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52,843</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FA6024" w:rsidRDefault="003F4581" w:rsidP="00320C82">
            <w:pPr>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Deutsche Boerse AG</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44,503</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106</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44,608</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0</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1,907</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1,907</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FA6024" w:rsidRDefault="003F4581" w:rsidP="00320C82">
            <w:pPr>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Euronext</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NA</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6,696</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6,696</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0</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10,120</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10,120</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FA6024" w:rsidRDefault="003F4581" w:rsidP="00320C82">
            <w:pPr>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Johannesburg Stock Exchange</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4,427</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227</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4,654</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4,363</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44</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4,407</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875571" w:rsidRDefault="003F4581" w:rsidP="00320C82">
            <w:pPr>
              <w:rPr>
                <w:rFonts w:ascii="Garamond" w:hAnsi="Garamond" w:cs="Calibri"/>
                <w:sz w:val="20"/>
                <w:szCs w:val="20"/>
                <w:lang w:val="en-IN" w:eastAsia="en-IN" w:bidi="hi-IN"/>
              </w:rPr>
            </w:pPr>
            <w:r w:rsidRPr="00875571">
              <w:rPr>
                <w:rFonts w:ascii="Garamond" w:hAnsi="Garamond" w:cs="Calibri"/>
                <w:sz w:val="20"/>
                <w:szCs w:val="20"/>
              </w:rPr>
              <w:t>LSE Group London Stock Exchange</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62,530</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3,847</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66,376</w:t>
            </w:r>
          </w:p>
        </w:tc>
        <w:tc>
          <w:tcPr>
            <w:tcW w:w="1124" w:type="dxa"/>
            <w:tcBorders>
              <w:top w:val="nil"/>
              <w:left w:val="nil"/>
              <w:bottom w:val="single" w:sz="4" w:space="0" w:color="auto"/>
              <w:right w:val="single" w:sz="4" w:space="0" w:color="auto"/>
            </w:tcBorders>
            <w:shd w:val="clear" w:color="auto" w:fill="auto"/>
            <w:vAlign w:val="center"/>
            <w:hideMark/>
          </w:tcPr>
          <w:p w:rsidR="003F4581" w:rsidRDefault="003F4581" w:rsidP="00320C82">
            <w:pPr>
              <w:jc w:val="right"/>
              <w:rPr>
                <w:rFonts w:ascii="Garamond" w:hAnsi="Garamond"/>
                <w:color w:val="000000"/>
                <w:sz w:val="20"/>
                <w:szCs w:val="20"/>
                <w:lang w:val="en-IN" w:eastAsia="en-IN" w:bidi="hi-IN"/>
              </w:rPr>
            </w:pPr>
            <w:r>
              <w:rPr>
                <w:rFonts w:ascii="Garamond" w:hAnsi="Garamond"/>
                <w:color w:val="000000"/>
                <w:sz w:val="20"/>
                <w:szCs w:val="20"/>
              </w:rPr>
              <w:t xml:space="preserve"> 58,216</w:t>
            </w:r>
          </w:p>
        </w:tc>
        <w:tc>
          <w:tcPr>
            <w:tcW w:w="1124" w:type="dxa"/>
            <w:tcBorders>
              <w:top w:val="nil"/>
              <w:left w:val="nil"/>
              <w:bottom w:val="single" w:sz="4" w:space="0" w:color="auto"/>
              <w:right w:val="single" w:sz="4" w:space="0" w:color="auto"/>
            </w:tcBorders>
            <w:shd w:val="clear" w:color="auto" w:fill="auto"/>
            <w:vAlign w:val="center"/>
            <w:hideMark/>
          </w:tcPr>
          <w:p w:rsidR="003F4581" w:rsidRDefault="003F4581" w:rsidP="00320C82">
            <w:pPr>
              <w:jc w:val="right"/>
              <w:rPr>
                <w:rFonts w:ascii="Garamond" w:hAnsi="Garamond"/>
                <w:color w:val="000000"/>
                <w:sz w:val="20"/>
                <w:szCs w:val="20"/>
              </w:rPr>
            </w:pPr>
            <w:r>
              <w:rPr>
                <w:rFonts w:ascii="Garamond" w:hAnsi="Garamond"/>
                <w:color w:val="000000"/>
                <w:sz w:val="20"/>
                <w:szCs w:val="20"/>
              </w:rPr>
              <w:t xml:space="preserve"> 4,179</w:t>
            </w:r>
          </w:p>
        </w:tc>
        <w:tc>
          <w:tcPr>
            <w:tcW w:w="1125" w:type="dxa"/>
            <w:tcBorders>
              <w:top w:val="nil"/>
              <w:left w:val="nil"/>
              <w:bottom w:val="single" w:sz="4" w:space="0" w:color="auto"/>
              <w:right w:val="single" w:sz="4" w:space="0" w:color="auto"/>
            </w:tcBorders>
            <w:shd w:val="clear" w:color="auto" w:fill="auto"/>
            <w:vAlign w:val="center"/>
            <w:hideMark/>
          </w:tcPr>
          <w:p w:rsidR="003F4581" w:rsidRDefault="003F4581" w:rsidP="00320C82">
            <w:pPr>
              <w:jc w:val="right"/>
              <w:rPr>
                <w:rFonts w:ascii="Garamond" w:hAnsi="Garamond"/>
                <w:color w:val="000000"/>
                <w:sz w:val="20"/>
                <w:szCs w:val="20"/>
              </w:rPr>
            </w:pPr>
            <w:r>
              <w:rPr>
                <w:rFonts w:ascii="Garamond" w:hAnsi="Garamond"/>
                <w:color w:val="000000"/>
                <w:sz w:val="20"/>
                <w:szCs w:val="20"/>
              </w:rPr>
              <w:t xml:space="preserve"> 62,394</w:t>
            </w:r>
          </w:p>
        </w:tc>
      </w:tr>
      <w:tr w:rsidR="003F4581" w:rsidRPr="00FA6024" w:rsidTr="00320C82">
        <w:trPr>
          <w:trHeight w:val="27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3F4581" w:rsidRPr="00FA6024" w:rsidRDefault="003F4581" w:rsidP="00320C82">
            <w:pPr>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Moscow Exchange</w:t>
            </w:r>
          </w:p>
        </w:tc>
        <w:tc>
          <w:tcPr>
            <w:tcW w:w="1124" w:type="dxa"/>
            <w:tcBorders>
              <w:top w:val="nil"/>
              <w:left w:val="nil"/>
              <w:bottom w:val="single" w:sz="4" w:space="0" w:color="auto"/>
              <w:right w:val="single" w:sz="4" w:space="0" w:color="auto"/>
            </w:tcBorders>
            <w:shd w:val="clear" w:color="auto" w:fill="auto"/>
            <w:vAlign w:val="center"/>
            <w:hideMark/>
          </w:tcPr>
          <w:p w:rsidR="003F4581" w:rsidRPr="00875571" w:rsidRDefault="003F4581" w:rsidP="00320C82">
            <w:pPr>
              <w:jc w:val="right"/>
              <w:rPr>
                <w:rFonts w:ascii="Garamond" w:eastAsia="Times New Roman" w:hAnsi="Garamond" w:cs="Calibri"/>
                <w:color w:val="000000"/>
                <w:sz w:val="20"/>
                <w:szCs w:val="20"/>
                <w:lang w:val="en-IN" w:eastAsia="en-IN" w:bidi="hi-IN"/>
              </w:rPr>
            </w:pPr>
            <w:r w:rsidRPr="00875571">
              <w:rPr>
                <w:rFonts w:ascii="Garamond" w:eastAsia="Times New Roman" w:hAnsi="Garamond" w:cs="Calibri"/>
                <w:color w:val="000000"/>
                <w:sz w:val="20"/>
                <w:szCs w:val="20"/>
                <w:lang w:val="en-IN" w:eastAsia="en-IN" w:bidi="hi-IN"/>
              </w:rPr>
              <w:t xml:space="preserve"> 15,150</w:t>
            </w:r>
          </w:p>
        </w:tc>
        <w:tc>
          <w:tcPr>
            <w:tcW w:w="1124" w:type="dxa"/>
            <w:tcBorders>
              <w:top w:val="nil"/>
              <w:left w:val="nil"/>
              <w:bottom w:val="single" w:sz="4" w:space="0" w:color="auto"/>
              <w:right w:val="single" w:sz="4" w:space="0" w:color="auto"/>
            </w:tcBorders>
            <w:shd w:val="clear" w:color="auto" w:fill="auto"/>
            <w:vAlign w:val="center"/>
            <w:hideMark/>
          </w:tcPr>
          <w:p w:rsidR="003F4581" w:rsidRPr="00875571" w:rsidRDefault="003F4581" w:rsidP="00320C82">
            <w:pPr>
              <w:jc w:val="right"/>
              <w:rPr>
                <w:rFonts w:ascii="Garamond" w:eastAsia="Times New Roman" w:hAnsi="Garamond" w:cs="Calibri"/>
                <w:color w:val="000000"/>
                <w:sz w:val="20"/>
                <w:szCs w:val="20"/>
                <w:lang w:val="en-IN" w:eastAsia="en-IN" w:bidi="hi-IN"/>
              </w:rPr>
            </w:pPr>
            <w:r w:rsidRPr="00875571">
              <w:rPr>
                <w:rFonts w:ascii="Garamond" w:eastAsia="Times New Roman" w:hAnsi="Garamond" w:cs="Calibri"/>
                <w:color w:val="000000"/>
                <w:sz w:val="20"/>
                <w:szCs w:val="20"/>
                <w:lang w:val="en-IN" w:eastAsia="en-IN" w:bidi="hi-IN"/>
              </w:rPr>
              <w:t xml:space="preserve"> 0</w:t>
            </w:r>
          </w:p>
        </w:tc>
        <w:tc>
          <w:tcPr>
            <w:tcW w:w="1125" w:type="dxa"/>
            <w:tcBorders>
              <w:top w:val="nil"/>
              <w:left w:val="nil"/>
              <w:bottom w:val="single" w:sz="4" w:space="0" w:color="auto"/>
              <w:right w:val="single" w:sz="4" w:space="0" w:color="auto"/>
            </w:tcBorders>
            <w:shd w:val="clear" w:color="auto" w:fill="auto"/>
            <w:vAlign w:val="center"/>
            <w:hideMark/>
          </w:tcPr>
          <w:p w:rsidR="003F4581" w:rsidRPr="00875571" w:rsidRDefault="003F4581" w:rsidP="00320C82">
            <w:pPr>
              <w:jc w:val="right"/>
              <w:rPr>
                <w:rFonts w:ascii="Garamond" w:eastAsia="Times New Roman" w:hAnsi="Garamond" w:cs="Calibri"/>
                <w:color w:val="000000"/>
                <w:sz w:val="20"/>
                <w:szCs w:val="20"/>
                <w:lang w:val="en-IN" w:eastAsia="en-IN" w:bidi="hi-IN"/>
              </w:rPr>
            </w:pPr>
            <w:r w:rsidRPr="00875571">
              <w:rPr>
                <w:rFonts w:ascii="Garamond" w:eastAsia="Times New Roman" w:hAnsi="Garamond" w:cs="Calibri"/>
                <w:color w:val="000000"/>
                <w:sz w:val="20"/>
                <w:szCs w:val="20"/>
                <w:lang w:val="en-IN" w:eastAsia="en-IN" w:bidi="hi-IN"/>
              </w:rPr>
              <w:t xml:space="preserve"> 15,150</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17,791</w:t>
            </w:r>
          </w:p>
        </w:tc>
        <w:tc>
          <w:tcPr>
            <w:tcW w:w="1124"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0</w:t>
            </w:r>
          </w:p>
        </w:tc>
        <w:tc>
          <w:tcPr>
            <w:tcW w:w="1125" w:type="dxa"/>
            <w:tcBorders>
              <w:top w:val="nil"/>
              <w:left w:val="nil"/>
              <w:bottom w:val="single" w:sz="4" w:space="0" w:color="auto"/>
              <w:right w:val="single" w:sz="4" w:space="0" w:color="auto"/>
            </w:tcBorders>
            <w:shd w:val="clear" w:color="auto" w:fill="auto"/>
            <w:vAlign w:val="center"/>
            <w:hideMark/>
          </w:tcPr>
          <w:p w:rsidR="003F4581" w:rsidRPr="00FA6024" w:rsidRDefault="003F4581" w:rsidP="00320C82">
            <w:pPr>
              <w:jc w:val="right"/>
              <w:rPr>
                <w:rFonts w:ascii="Garamond" w:eastAsia="Times New Roman" w:hAnsi="Garamond" w:cs="Calibri"/>
                <w:color w:val="000000"/>
                <w:sz w:val="20"/>
                <w:szCs w:val="20"/>
                <w:lang w:val="en-IN" w:eastAsia="en-IN" w:bidi="hi-IN"/>
              </w:rPr>
            </w:pPr>
            <w:r w:rsidRPr="00FA6024">
              <w:rPr>
                <w:rFonts w:ascii="Garamond" w:eastAsia="Times New Roman" w:hAnsi="Garamond" w:cs="Calibri"/>
                <w:color w:val="000000"/>
                <w:sz w:val="20"/>
                <w:szCs w:val="20"/>
                <w:lang w:val="en-IN" w:eastAsia="en-IN" w:bidi="hi-IN"/>
              </w:rPr>
              <w:t xml:space="preserve"> 17,791</w:t>
            </w:r>
          </w:p>
        </w:tc>
      </w:tr>
      <w:tr w:rsidR="003F4581" w:rsidRPr="00FA6024" w:rsidTr="00320C82">
        <w:trPr>
          <w:trHeight w:val="262"/>
        </w:trPr>
        <w:tc>
          <w:tcPr>
            <w:tcW w:w="3640" w:type="dxa"/>
            <w:tcBorders>
              <w:top w:val="nil"/>
              <w:left w:val="single" w:sz="4" w:space="0" w:color="auto"/>
              <w:bottom w:val="single" w:sz="4" w:space="0" w:color="auto"/>
              <w:right w:val="single" w:sz="4" w:space="0" w:color="auto"/>
            </w:tcBorders>
            <w:shd w:val="clear" w:color="000000" w:fill="BDD6EE"/>
            <w:vAlign w:val="center"/>
            <w:hideMark/>
          </w:tcPr>
          <w:p w:rsidR="003F4581" w:rsidRPr="00FA6024" w:rsidRDefault="003F4581" w:rsidP="00320C82">
            <w:pPr>
              <w:rPr>
                <w:rFonts w:ascii="Garamond" w:eastAsia="Times New Roman" w:hAnsi="Garamond" w:cs="Calibri"/>
                <w:b/>
                <w:bCs/>
                <w:color w:val="000000"/>
                <w:sz w:val="20"/>
                <w:szCs w:val="20"/>
                <w:lang w:val="en-IN" w:eastAsia="en-IN" w:bidi="hi-IN"/>
              </w:rPr>
            </w:pPr>
            <w:r w:rsidRPr="00FA6024">
              <w:rPr>
                <w:rFonts w:ascii="Garamond" w:eastAsia="Times New Roman" w:hAnsi="Garamond" w:cs="Calibri"/>
                <w:b/>
                <w:bCs/>
                <w:color w:val="000000"/>
                <w:sz w:val="20"/>
                <w:szCs w:val="20"/>
                <w:lang w:val="en-IN" w:eastAsia="en-IN" w:bidi="hi-IN"/>
              </w:rPr>
              <w:t>Grand Total</w:t>
            </w:r>
          </w:p>
        </w:tc>
        <w:tc>
          <w:tcPr>
            <w:tcW w:w="1124" w:type="dxa"/>
            <w:tcBorders>
              <w:top w:val="nil"/>
              <w:left w:val="nil"/>
              <w:bottom w:val="single" w:sz="4" w:space="0" w:color="auto"/>
              <w:right w:val="single" w:sz="4" w:space="0" w:color="auto"/>
            </w:tcBorders>
            <w:shd w:val="clear" w:color="000000" w:fill="BDD6EE"/>
            <w:vAlign w:val="center"/>
            <w:hideMark/>
          </w:tcPr>
          <w:p w:rsidR="003F4581" w:rsidRPr="00875571" w:rsidRDefault="003F4581" w:rsidP="00320C82">
            <w:pPr>
              <w:jc w:val="right"/>
              <w:rPr>
                <w:rFonts w:ascii="Garamond" w:eastAsia="Times New Roman" w:hAnsi="Garamond" w:cs="Calibri"/>
                <w:b/>
                <w:bCs/>
                <w:color w:val="000000"/>
                <w:sz w:val="20"/>
                <w:szCs w:val="20"/>
                <w:lang w:val="en-IN" w:eastAsia="en-IN" w:bidi="hi-IN"/>
              </w:rPr>
            </w:pPr>
            <w:r w:rsidRPr="00875571">
              <w:rPr>
                <w:rFonts w:ascii="Garamond" w:eastAsia="Times New Roman" w:hAnsi="Garamond" w:cs="Calibri"/>
                <w:b/>
                <w:bCs/>
                <w:color w:val="000000"/>
                <w:sz w:val="20"/>
                <w:szCs w:val="20"/>
                <w:lang w:val="en-IN" w:eastAsia="en-IN" w:bidi="hi-IN"/>
              </w:rPr>
              <w:t xml:space="preserve"> 427,983</w:t>
            </w:r>
          </w:p>
        </w:tc>
        <w:tc>
          <w:tcPr>
            <w:tcW w:w="1124" w:type="dxa"/>
            <w:tcBorders>
              <w:top w:val="nil"/>
              <w:left w:val="nil"/>
              <w:bottom w:val="single" w:sz="4" w:space="0" w:color="auto"/>
              <w:right w:val="single" w:sz="4" w:space="0" w:color="auto"/>
            </w:tcBorders>
            <w:shd w:val="clear" w:color="000000" w:fill="BDD6EE"/>
            <w:vAlign w:val="center"/>
            <w:hideMark/>
          </w:tcPr>
          <w:p w:rsidR="003F4581" w:rsidRPr="00875571" w:rsidRDefault="003F4581" w:rsidP="00320C82">
            <w:pPr>
              <w:jc w:val="right"/>
              <w:rPr>
                <w:rFonts w:ascii="Garamond" w:eastAsia="Times New Roman" w:hAnsi="Garamond" w:cs="Calibri"/>
                <w:b/>
                <w:bCs/>
                <w:color w:val="000000"/>
                <w:sz w:val="20"/>
                <w:szCs w:val="20"/>
                <w:lang w:val="en-IN" w:eastAsia="en-IN" w:bidi="hi-IN"/>
              </w:rPr>
            </w:pPr>
            <w:r w:rsidRPr="00875571">
              <w:rPr>
                <w:rFonts w:ascii="Garamond" w:eastAsia="Times New Roman" w:hAnsi="Garamond" w:cs="Calibri"/>
                <w:b/>
                <w:bCs/>
                <w:color w:val="000000"/>
                <w:sz w:val="20"/>
                <w:szCs w:val="20"/>
                <w:lang w:val="en-IN" w:eastAsia="en-IN" w:bidi="hi-IN"/>
              </w:rPr>
              <w:t xml:space="preserve"> 71,361</w:t>
            </w:r>
          </w:p>
        </w:tc>
        <w:tc>
          <w:tcPr>
            <w:tcW w:w="1125" w:type="dxa"/>
            <w:tcBorders>
              <w:top w:val="nil"/>
              <w:left w:val="nil"/>
              <w:bottom w:val="single" w:sz="4" w:space="0" w:color="auto"/>
              <w:right w:val="single" w:sz="4" w:space="0" w:color="auto"/>
            </w:tcBorders>
            <w:shd w:val="clear" w:color="000000" w:fill="BDD6EE"/>
            <w:vAlign w:val="center"/>
            <w:hideMark/>
          </w:tcPr>
          <w:p w:rsidR="003F4581" w:rsidRPr="00875571" w:rsidRDefault="003F4581" w:rsidP="00320C82">
            <w:pPr>
              <w:jc w:val="right"/>
              <w:rPr>
                <w:rFonts w:ascii="Garamond" w:eastAsia="Times New Roman" w:hAnsi="Garamond" w:cs="Calibri"/>
                <w:b/>
                <w:bCs/>
                <w:color w:val="000000"/>
                <w:sz w:val="20"/>
                <w:szCs w:val="20"/>
                <w:lang w:val="en-IN" w:eastAsia="en-IN" w:bidi="hi-IN"/>
              </w:rPr>
            </w:pPr>
            <w:r w:rsidRPr="00875571">
              <w:rPr>
                <w:rFonts w:ascii="Garamond" w:eastAsia="Times New Roman" w:hAnsi="Garamond" w:cs="Calibri"/>
                <w:b/>
                <w:bCs/>
                <w:color w:val="000000"/>
                <w:sz w:val="20"/>
                <w:szCs w:val="20"/>
                <w:lang w:val="en-IN" w:eastAsia="en-IN" w:bidi="hi-IN"/>
              </w:rPr>
              <w:t xml:space="preserve"> 499,345</w:t>
            </w:r>
          </w:p>
        </w:tc>
        <w:tc>
          <w:tcPr>
            <w:tcW w:w="1124" w:type="dxa"/>
            <w:tcBorders>
              <w:top w:val="nil"/>
              <w:left w:val="nil"/>
              <w:bottom w:val="single" w:sz="4" w:space="0" w:color="auto"/>
              <w:right w:val="single" w:sz="4" w:space="0" w:color="auto"/>
            </w:tcBorders>
            <w:shd w:val="clear" w:color="000000" w:fill="BDD6EE"/>
            <w:vAlign w:val="center"/>
            <w:hideMark/>
          </w:tcPr>
          <w:p w:rsidR="003F4581" w:rsidRDefault="003F4581" w:rsidP="00320C82">
            <w:pPr>
              <w:jc w:val="right"/>
              <w:rPr>
                <w:rFonts w:ascii="Garamond" w:hAnsi="Garamond"/>
                <w:b/>
                <w:bCs/>
                <w:color w:val="000000"/>
                <w:sz w:val="20"/>
                <w:szCs w:val="20"/>
                <w:lang w:val="en-IN" w:eastAsia="en-IN" w:bidi="hi-IN"/>
              </w:rPr>
            </w:pPr>
            <w:r>
              <w:rPr>
                <w:rFonts w:ascii="Garamond" w:hAnsi="Garamond"/>
                <w:b/>
                <w:bCs/>
                <w:color w:val="000000"/>
                <w:sz w:val="20"/>
                <w:szCs w:val="20"/>
              </w:rPr>
              <w:t xml:space="preserve"> 401,146</w:t>
            </w:r>
          </w:p>
        </w:tc>
        <w:tc>
          <w:tcPr>
            <w:tcW w:w="1124" w:type="dxa"/>
            <w:tcBorders>
              <w:top w:val="nil"/>
              <w:left w:val="nil"/>
              <w:bottom w:val="single" w:sz="4" w:space="0" w:color="auto"/>
              <w:right w:val="single" w:sz="4" w:space="0" w:color="auto"/>
            </w:tcBorders>
            <w:shd w:val="clear" w:color="000000" w:fill="BDD6EE"/>
            <w:vAlign w:val="center"/>
            <w:hideMark/>
          </w:tcPr>
          <w:p w:rsidR="003F4581" w:rsidRDefault="003F4581" w:rsidP="00320C82">
            <w:pPr>
              <w:jc w:val="right"/>
              <w:rPr>
                <w:rFonts w:ascii="Garamond" w:hAnsi="Garamond"/>
                <w:b/>
                <w:bCs/>
                <w:color w:val="000000"/>
                <w:sz w:val="20"/>
                <w:szCs w:val="20"/>
              </w:rPr>
            </w:pPr>
            <w:r>
              <w:rPr>
                <w:rFonts w:ascii="Garamond" w:hAnsi="Garamond"/>
                <w:b/>
                <w:bCs/>
                <w:color w:val="000000"/>
                <w:sz w:val="20"/>
                <w:szCs w:val="20"/>
              </w:rPr>
              <w:t xml:space="preserve"> 67,788</w:t>
            </w:r>
          </w:p>
        </w:tc>
        <w:tc>
          <w:tcPr>
            <w:tcW w:w="1125" w:type="dxa"/>
            <w:tcBorders>
              <w:top w:val="nil"/>
              <w:left w:val="nil"/>
              <w:bottom w:val="single" w:sz="4" w:space="0" w:color="auto"/>
              <w:right w:val="single" w:sz="4" w:space="0" w:color="auto"/>
            </w:tcBorders>
            <w:shd w:val="clear" w:color="000000" w:fill="BDD6EE"/>
            <w:vAlign w:val="center"/>
            <w:hideMark/>
          </w:tcPr>
          <w:p w:rsidR="003F4581" w:rsidRDefault="003F4581" w:rsidP="00320C82">
            <w:pPr>
              <w:jc w:val="right"/>
              <w:rPr>
                <w:rFonts w:ascii="Garamond" w:hAnsi="Garamond"/>
                <w:b/>
                <w:bCs/>
                <w:color w:val="000000"/>
                <w:sz w:val="20"/>
                <w:szCs w:val="20"/>
              </w:rPr>
            </w:pPr>
            <w:r>
              <w:rPr>
                <w:rFonts w:ascii="Garamond" w:hAnsi="Garamond"/>
                <w:b/>
                <w:bCs/>
                <w:color w:val="000000"/>
                <w:sz w:val="20"/>
                <w:szCs w:val="20"/>
              </w:rPr>
              <w:t xml:space="preserve"> 468,934</w:t>
            </w:r>
          </w:p>
        </w:tc>
      </w:tr>
    </w:tbl>
    <w:p w:rsidR="003F4581" w:rsidRPr="00E25198" w:rsidRDefault="003F4581" w:rsidP="003F4581">
      <w:pPr>
        <w:jc w:val="both"/>
        <w:rPr>
          <w:rFonts w:ascii="Garamond" w:hAnsi="Garamond"/>
          <w:bCs/>
          <w:sz w:val="18"/>
          <w:szCs w:val="18"/>
        </w:rPr>
      </w:pPr>
      <w:r w:rsidRPr="00E25198">
        <w:rPr>
          <w:rFonts w:ascii="Garamond" w:hAnsi="Garamond"/>
          <w:bCs/>
          <w:sz w:val="18"/>
          <w:szCs w:val="18"/>
        </w:rPr>
        <w:t xml:space="preserve"> Note: For Funds mobilised through issuance of bonds, data may differ due to different reporting rules &amp; calculation methods. Fund mobilisation data for equities are (i) excluding investment funds and (ii) including Alternative and SME Markets except the following exceptions:</w:t>
      </w:r>
    </w:p>
    <w:p w:rsidR="003F4581" w:rsidRPr="00E25198" w:rsidRDefault="003F4581" w:rsidP="003F4581">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Australian Securities Exchange: including investment funds</w:t>
      </w:r>
    </w:p>
    <w:p w:rsidR="003F4581" w:rsidRPr="00E25198" w:rsidRDefault="003F4581" w:rsidP="003F4581">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 xml:space="preserve">BME: Including investment companies listed (open-end investment companies). </w:t>
      </w:r>
    </w:p>
    <w:p w:rsidR="003F4581" w:rsidRPr="00E25198" w:rsidRDefault="003F4581" w:rsidP="003F4581">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Euronext: includes Belgium, England, France, Netherlands and Portugal</w:t>
      </w:r>
    </w:p>
    <w:p w:rsidR="003F4581" w:rsidRPr="00E25198" w:rsidRDefault="003F4581" w:rsidP="003F4581">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Korea Exchange: including Kosdaq market data</w:t>
      </w:r>
    </w:p>
    <w:p w:rsidR="003F4581" w:rsidRPr="00E25198" w:rsidRDefault="003F4581" w:rsidP="003F4581">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LSE Group: includes London Stock Exchange and BorsaItaliana</w:t>
      </w:r>
    </w:p>
    <w:p w:rsidR="003F4581" w:rsidRPr="00E25198" w:rsidRDefault="003F4581" w:rsidP="003F4581">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Nasdaq Nordic Exchanges include Copenhagen, Helsinki, Iceland, Stockholm, Tallinn, Riga and Vilnius Stock Exchanges</w:t>
      </w:r>
    </w:p>
    <w:p w:rsidR="003F4581" w:rsidRPr="00E25198" w:rsidRDefault="003F4581" w:rsidP="003F4581">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NSE India: including “Emerge” market data</w:t>
      </w:r>
    </w:p>
    <w:p w:rsidR="003F4581" w:rsidRPr="00E25198" w:rsidRDefault="003F4581" w:rsidP="003F4581">
      <w:pPr>
        <w:outlineLvl w:val="0"/>
        <w:rPr>
          <w:rFonts w:ascii="Garamond" w:hAnsi="Garamond"/>
          <w:bCs/>
          <w:sz w:val="18"/>
          <w:szCs w:val="18"/>
        </w:rPr>
      </w:pPr>
      <w:r w:rsidRPr="00E25198">
        <w:rPr>
          <w:rFonts w:ascii="Garamond" w:hAnsi="Garamond"/>
          <w:bCs/>
          <w:sz w:val="18"/>
          <w:szCs w:val="18"/>
        </w:rPr>
        <w:t>NA = Not Available</w:t>
      </w:r>
    </w:p>
    <w:p w:rsidR="003F4581" w:rsidRPr="00E25198" w:rsidRDefault="003F4581" w:rsidP="003F4581">
      <w:pPr>
        <w:spacing w:line="23" w:lineRule="atLeast"/>
        <w:rPr>
          <w:rFonts w:ascii="Garamond" w:hAnsi="Garamond"/>
          <w:bCs/>
          <w:sz w:val="18"/>
          <w:szCs w:val="18"/>
        </w:rPr>
      </w:pPr>
      <w:r w:rsidRPr="00E25198">
        <w:rPr>
          <w:rFonts w:ascii="Garamond" w:hAnsi="Garamond"/>
          <w:bCs/>
          <w:sz w:val="18"/>
          <w:szCs w:val="18"/>
        </w:rPr>
        <w:t>Source: World Federation of Exchanges</w:t>
      </w:r>
    </w:p>
    <w:p w:rsidR="003F4581" w:rsidRPr="00E25198" w:rsidRDefault="003F4581" w:rsidP="003F4581">
      <w:pPr>
        <w:rPr>
          <w:rFonts w:ascii="Garamond" w:hAnsi="Garamond"/>
          <w:bCs/>
          <w:sz w:val="22"/>
          <w:szCs w:val="22"/>
        </w:rPr>
      </w:pPr>
    </w:p>
    <w:p w:rsidR="003F4581" w:rsidRPr="00E25198" w:rsidRDefault="003F4581" w:rsidP="003F4581">
      <w:pPr>
        <w:spacing w:line="23" w:lineRule="atLeast"/>
        <w:jc w:val="both"/>
        <w:outlineLvl w:val="0"/>
        <w:rPr>
          <w:rFonts w:ascii="Garamond" w:hAnsi="Garamond"/>
          <w:b/>
          <w:bCs/>
          <w:szCs w:val="22"/>
        </w:rPr>
      </w:pPr>
      <w:r w:rsidRPr="00E25198">
        <w:rPr>
          <w:rFonts w:ascii="Garamond" w:hAnsi="Garamond"/>
          <w:b/>
          <w:bCs/>
          <w:szCs w:val="22"/>
        </w:rPr>
        <w:t>Table A3: Domestic Market Capitalisation of Major Exchanges (USD billion)</w:t>
      </w:r>
    </w:p>
    <w:tbl>
      <w:tblPr>
        <w:tblW w:w="9525" w:type="dxa"/>
        <w:tblInd w:w="113" w:type="dxa"/>
        <w:tblLook w:val="04A0" w:firstRow="1" w:lastRow="0" w:firstColumn="1" w:lastColumn="0" w:noHBand="0" w:noVBand="1"/>
      </w:tblPr>
      <w:tblGrid>
        <w:gridCol w:w="4944"/>
        <w:gridCol w:w="1527"/>
        <w:gridCol w:w="1527"/>
        <w:gridCol w:w="1527"/>
      </w:tblGrid>
      <w:tr w:rsidR="003F4581" w:rsidRPr="00AF27AC" w:rsidTr="00320C82">
        <w:trPr>
          <w:trHeight w:val="257"/>
        </w:trPr>
        <w:tc>
          <w:tcPr>
            <w:tcW w:w="494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Exchnage</w:t>
            </w:r>
          </w:p>
        </w:tc>
        <w:tc>
          <w:tcPr>
            <w:tcW w:w="1527" w:type="dxa"/>
            <w:tcBorders>
              <w:top w:val="single" w:sz="4" w:space="0" w:color="auto"/>
              <w:left w:val="nil"/>
              <w:bottom w:val="single" w:sz="4" w:space="0" w:color="auto"/>
              <w:right w:val="single" w:sz="4" w:space="0" w:color="auto"/>
            </w:tcBorders>
            <w:shd w:val="clear" w:color="000000" w:fill="B4C6E7"/>
            <w:noWrap/>
            <w:vAlign w:val="center"/>
            <w:hideMark/>
          </w:tcPr>
          <w:p w:rsidR="003F4581" w:rsidRPr="00AF27AC" w:rsidRDefault="003F4581" w:rsidP="00320C82">
            <w:pPr>
              <w:jc w:val="center"/>
              <w:rPr>
                <w:rFonts w:ascii="Calibri" w:eastAsia="Times New Roman" w:hAnsi="Calibri" w:cs="Calibri"/>
                <w:b/>
                <w:bCs/>
                <w:color w:val="000000"/>
                <w:sz w:val="18"/>
                <w:szCs w:val="18"/>
                <w:lang w:val="en-IN" w:eastAsia="en-IN" w:bidi="hi-IN"/>
              </w:rPr>
            </w:pPr>
            <w:r w:rsidRPr="00AF27AC">
              <w:rPr>
                <w:rFonts w:ascii="Calibri" w:eastAsia="Times New Roman" w:hAnsi="Calibri" w:cs="Calibri"/>
                <w:b/>
                <w:bCs/>
                <w:color w:val="000000"/>
                <w:sz w:val="18"/>
                <w:szCs w:val="18"/>
                <w:lang w:val="en-IN" w:eastAsia="en-IN" w:bidi="hi-IN"/>
              </w:rPr>
              <w:t>Mar-21</w:t>
            </w:r>
          </w:p>
        </w:tc>
        <w:tc>
          <w:tcPr>
            <w:tcW w:w="1527" w:type="dxa"/>
            <w:tcBorders>
              <w:top w:val="single" w:sz="4" w:space="0" w:color="auto"/>
              <w:left w:val="nil"/>
              <w:bottom w:val="single" w:sz="4" w:space="0" w:color="auto"/>
              <w:right w:val="single" w:sz="4" w:space="0" w:color="auto"/>
            </w:tcBorders>
            <w:shd w:val="clear" w:color="000000" w:fill="B4C6E7"/>
            <w:noWrap/>
            <w:vAlign w:val="center"/>
            <w:hideMark/>
          </w:tcPr>
          <w:p w:rsidR="003F4581" w:rsidRPr="00AF27AC" w:rsidRDefault="003F4581" w:rsidP="00320C82">
            <w:pPr>
              <w:jc w:val="center"/>
              <w:rPr>
                <w:rFonts w:ascii="Calibri" w:eastAsia="Times New Roman" w:hAnsi="Calibri" w:cs="Calibri"/>
                <w:b/>
                <w:bCs/>
                <w:color w:val="000000"/>
                <w:sz w:val="18"/>
                <w:szCs w:val="18"/>
                <w:lang w:val="en-IN" w:eastAsia="en-IN" w:bidi="hi-IN"/>
              </w:rPr>
            </w:pPr>
            <w:r w:rsidRPr="00AF27AC">
              <w:rPr>
                <w:rFonts w:ascii="Calibri" w:eastAsia="Times New Roman" w:hAnsi="Calibri" w:cs="Calibri"/>
                <w:b/>
                <w:bCs/>
                <w:color w:val="000000"/>
                <w:sz w:val="18"/>
                <w:szCs w:val="18"/>
                <w:lang w:val="en-IN" w:eastAsia="en-IN" w:bidi="hi-IN"/>
              </w:rPr>
              <w:t>Apr-21</w:t>
            </w:r>
          </w:p>
        </w:tc>
        <w:tc>
          <w:tcPr>
            <w:tcW w:w="1527" w:type="dxa"/>
            <w:tcBorders>
              <w:top w:val="single" w:sz="4" w:space="0" w:color="auto"/>
              <w:left w:val="nil"/>
              <w:bottom w:val="single" w:sz="4" w:space="0" w:color="auto"/>
              <w:right w:val="single" w:sz="4" w:space="0" w:color="auto"/>
            </w:tcBorders>
            <w:shd w:val="clear" w:color="000000" w:fill="B4C6E7"/>
            <w:noWrap/>
            <w:vAlign w:val="center"/>
            <w:hideMark/>
          </w:tcPr>
          <w:p w:rsidR="003F4581" w:rsidRPr="00AF27AC" w:rsidRDefault="003F4581" w:rsidP="00320C82">
            <w:pPr>
              <w:rPr>
                <w:rFonts w:ascii="Calibri" w:eastAsia="Times New Roman" w:hAnsi="Calibri" w:cs="Calibri"/>
                <w:b/>
                <w:bCs/>
                <w:color w:val="000000"/>
                <w:sz w:val="18"/>
                <w:szCs w:val="18"/>
                <w:lang w:val="en-IN" w:eastAsia="en-IN" w:bidi="hi-IN"/>
              </w:rPr>
            </w:pPr>
            <w:r w:rsidRPr="00AF27AC">
              <w:rPr>
                <w:rFonts w:ascii="Calibri" w:eastAsia="Times New Roman" w:hAnsi="Calibri" w:cs="Calibri"/>
                <w:b/>
                <w:bCs/>
                <w:color w:val="000000"/>
                <w:sz w:val="18"/>
                <w:szCs w:val="18"/>
                <w:lang w:val="en-IN" w:eastAsia="en-IN" w:bidi="hi-IN"/>
              </w:rPr>
              <w:t>% Change MoM</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Nasdaq - US</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19,790</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20,991</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6.1%</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NYSE</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23,559</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24,676</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LSE Group</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4,315</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Deutsche Boerse AG</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2,447</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2,540</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BME Spanish Exchanges</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774</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819</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5.9%</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Japan Exchange Group</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6,760</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6,665</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-1.4%</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Singapore Exchange</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702</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685</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Hong Kong Exchanges and Clearing</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6,697</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6,869</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Korea Exchange</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2,231</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2,324</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ASX Australian Securities Exchange</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1,754</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1,855</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5.8%</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B3 - Brasil Bolsa Balcão</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913</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975</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6.8%</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Moscow Exchange</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746</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752</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0.8%</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National Stock Exchange of India</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2,775</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2,776</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0.0%</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Shanghai Stock Exchange</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6,920</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7,069</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Shenzhen Stock Exchange</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5,040</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5,339</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5.9%</w:t>
            </w:r>
          </w:p>
        </w:tc>
      </w:tr>
      <w:tr w:rsidR="003F4581" w:rsidRPr="00AF27AC" w:rsidTr="00320C82">
        <w:trPr>
          <w:trHeight w:val="257"/>
        </w:trPr>
        <w:tc>
          <w:tcPr>
            <w:tcW w:w="4944" w:type="dxa"/>
            <w:tcBorders>
              <w:top w:val="nil"/>
              <w:left w:val="single" w:sz="4" w:space="0" w:color="auto"/>
              <w:bottom w:val="single" w:sz="4" w:space="0" w:color="auto"/>
              <w:right w:val="single" w:sz="4" w:space="0" w:color="auto"/>
            </w:tcBorders>
            <w:shd w:val="clear" w:color="000000" w:fill="D9E1F2"/>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Johannesburg Stock Exchange</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1,131</w:t>
            </w:r>
          </w:p>
        </w:tc>
        <w:tc>
          <w:tcPr>
            <w:tcW w:w="1527" w:type="dxa"/>
            <w:tcBorders>
              <w:top w:val="nil"/>
              <w:left w:val="nil"/>
              <w:bottom w:val="single" w:sz="4" w:space="0" w:color="auto"/>
              <w:right w:val="single" w:sz="4"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1,155</w:t>
            </w:r>
          </w:p>
        </w:tc>
        <w:tc>
          <w:tcPr>
            <w:tcW w:w="1527" w:type="dxa"/>
            <w:tcBorders>
              <w:top w:val="nil"/>
              <w:left w:val="nil"/>
              <w:bottom w:val="single" w:sz="4" w:space="0" w:color="auto"/>
              <w:right w:val="single" w:sz="4" w:space="0" w:color="auto"/>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w:t>
            </w:r>
          </w:p>
        </w:tc>
      </w:tr>
    </w:tbl>
    <w:p w:rsidR="003F4581" w:rsidRPr="00E25198" w:rsidRDefault="003F4581" w:rsidP="003F4581">
      <w:pPr>
        <w:spacing w:line="23" w:lineRule="atLeast"/>
        <w:ind w:left="851"/>
        <w:jc w:val="both"/>
        <w:outlineLvl w:val="0"/>
        <w:rPr>
          <w:rFonts w:ascii="Garamond" w:hAnsi="Garamond"/>
          <w:bCs/>
          <w:sz w:val="18"/>
          <w:szCs w:val="18"/>
        </w:rPr>
      </w:pPr>
      <w:r w:rsidRPr="00E25198">
        <w:rPr>
          <w:rFonts w:ascii="Garamond" w:hAnsi="Garamond"/>
          <w:bCs/>
          <w:sz w:val="18"/>
          <w:szCs w:val="18"/>
        </w:rPr>
        <w:t xml:space="preserve"> NA: Not Available</w:t>
      </w:r>
    </w:p>
    <w:p w:rsidR="003F4581" w:rsidRPr="00E25198" w:rsidRDefault="003F4581" w:rsidP="003F4581">
      <w:pPr>
        <w:spacing w:line="23" w:lineRule="atLeast"/>
        <w:ind w:left="851"/>
        <w:jc w:val="both"/>
        <w:outlineLvl w:val="0"/>
        <w:rPr>
          <w:rFonts w:ascii="Garamond" w:hAnsi="Garamond"/>
          <w:bCs/>
          <w:sz w:val="18"/>
          <w:szCs w:val="18"/>
        </w:rPr>
      </w:pPr>
      <w:r w:rsidRPr="00E25198">
        <w:rPr>
          <w:rFonts w:ascii="Garamond" w:hAnsi="Garamond"/>
          <w:bCs/>
          <w:sz w:val="18"/>
          <w:szCs w:val="18"/>
        </w:rPr>
        <w:t>Source: World Federation of Exchanges</w:t>
      </w:r>
    </w:p>
    <w:p w:rsidR="003F4581" w:rsidRPr="00E25198" w:rsidRDefault="003F4581" w:rsidP="003F4581">
      <w:pPr>
        <w:spacing w:line="23" w:lineRule="atLeast"/>
        <w:ind w:left="851"/>
        <w:jc w:val="both"/>
        <w:outlineLvl w:val="0"/>
        <w:rPr>
          <w:rFonts w:ascii="Garamond" w:hAnsi="Garamond"/>
          <w:bCs/>
          <w:sz w:val="18"/>
          <w:szCs w:val="18"/>
        </w:rPr>
      </w:pPr>
      <w:r w:rsidRPr="00E25198">
        <w:rPr>
          <w:rFonts w:ascii="Garamond" w:hAnsi="Garamond"/>
          <w:bCs/>
          <w:sz w:val="18"/>
          <w:szCs w:val="18"/>
        </w:rPr>
        <w:t xml:space="preserve">Note: </w:t>
      </w:r>
    </w:p>
    <w:p w:rsidR="003F4581" w:rsidRPr="00E25198" w:rsidRDefault="003F4581" w:rsidP="003F4581">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t>The figures provided in some versions of SEBI Bulletin are sourced from Refinitiv which provides country wise market capitalization data (estimated internally by Refinitiv).</w:t>
      </w:r>
    </w:p>
    <w:p w:rsidR="003F4581" w:rsidRPr="00E25198" w:rsidRDefault="003F4581" w:rsidP="003F4581">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t>The figures provided World Federation of Exchanges are more detailed and are provided by respective member exchanges.</w:t>
      </w:r>
    </w:p>
    <w:p w:rsidR="003F4581" w:rsidRDefault="003F4581" w:rsidP="003F4581">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lastRenderedPageBreak/>
        <w:t xml:space="preserve">As per the data available as on </w:t>
      </w:r>
      <w:r>
        <w:rPr>
          <w:rFonts w:ascii="Garamond" w:hAnsi="Garamond"/>
          <w:bCs/>
          <w:sz w:val="18"/>
          <w:szCs w:val="18"/>
          <w:lang w:val="en-US"/>
        </w:rPr>
        <w:t xml:space="preserve">02 August </w:t>
      </w:r>
      <w:r w:rsidRPr="00E25198">
        <w:rPr>
          <w:rFonts w:ascii="Garamond" w:hAnsi="Garamond"/>
          <w:bCs/>
          <w:sz w:val="18"/>
          <w:szCs w:val="18"/>
          <w:lang w:val="en-US"/>
        </w:rPr>
        <w:t>2021.</w:t>
      </w:r>
    </w:p>
    <w:p w:rsidR="003F4581" w:rsidRDefault="003F4581" w:rsidP="003F4581">
      <w:pPr>
        <w:spacing w:line="23" w:lineRule="atLeast"/>
        <w:jc w:val="both"/>
        <w:outlineLvl w:val="0"/>
        <w:rPr>
          <w:rFonts w:ascii="Garamond" w:hAnsi="Garamond"/>
          <w:b/>
          <w:bCs/>
          <w:szCs w:val="22"/>
        </w:rPr>
      </w:pPr>
    </w:p>
    <w:p w:rsidR="003F4581" w:rsidRDefault="003F4581" w:rsidP="003F4581">
      <w:pPr>
        <w:spacing w:line="23" w:lineRule="atLeast"/>
        <w:jc w:val="both"/>
        <w:outlineLvl w:val="0"/>
        <w:rPr>
          <w:rFonts w:ascii="Garamond" w:hAnsi="Garamond"/>
          <w:b/>
          <w:bCs/>
          <w:szCs w:val="22"/>
        </w:rPr>
      </w:pPr>
    </w:p>
    <w:p w:rsidR="003F4581" w:rsidRPr="00E25198" w:rsidRDefault="003F4581" w:rsidP="003F4581">
      <w:pPr>
        <w:spacing w:line="23" w:lineRule="atLeast"/>
        <w:jc w:val="both"/>
        <w:outlineLvl w:val="0"/>
        <w:rPr>
          <w:rFonts w:ascii="Garamond" w:hAnsi="Garamond"/>
          <w:b/>
          <w:bCs/>
          <w:szCs w:val="22"/>
        </w:rPr>
      </w:pPr>
      <w:r w:rsidRPr="00E25198">
        <w:rPr>
          <w:rFonts w:ascii="Garamond" w:hAnsi="Garamond"/>
          <w:b/>
          <w:bCs/>
          <w:szCs w:val="22"/>
        </w:rPr>
        <w:t>Table A4: Stock Futures and Stock Options Traded in Major Exchanges</w:t>
      </w:r>
    </w:p>
    <w:p w:rsidR="003F4581" w:rsidRPr="00E25198" w:rsidRDefault="003F4581" w:rsidP="003F4581">
      <w:pPr>
        <w:spacing w:line="23" w:lineRule="atLeast"/>
        <w:ind w:right="-744"/>
        <w:jc w:val="right"/>
        <w:outlineLvl w:val="0"/>
        <w:rPr>
          <w:rFonts w:ascii="Garamond" w:hAnsi="Garamond"/>
          <w:bCs/>
          <w:sz w:val="22"/>
          <w:szCs w:val="22"/>
        </w:rPr>
      </w:pPr>
      <w:r w:rsidRPr="00E25198">
        <w:rPr>
          <w:rFonts w:ascii="Garamond" w:hAnsi="Garamond"/>
          <w:bCs/>
          <w:sz w:val="22"/>
          <w:szCs w:val="22"/>
        </w:rPr>
        <w:t>Notional Turnover in (USD million)</w:t>
      </w:r>
    </w:p>
    <w:tbl>
      <w:tblPr>
        <w:tblW w:w="5180" w:type="pct"/>
        <w:tblLook w:val="04A0" w:firstRow="1" w:lastRow="0" w:firstColumn="1" w:lastColumn="0" w:noHBand="0" w:noVBand="1"/>
      </w:tblPr>
      <w:tblGrid>
        <w:gridCol w:w="3262"/>
        <w:gridCol w:w="1163"/>
        <w:gridCol w:w="1035"/>
        <w:gridCol w:w="1274"/>
        <w:gridCol w:w="1178"/>
        <w:gridCol w:w="1037"/>
        <w:gridCol w:w="1274"/>
      </w:tblGrid>
      <w:tr w:rsidR="003F4581" w:rsidRPr="00AF27AC" w:rsidTr="00320C82">
        <w:trPr>
          <w:trHeight w:val="218"/>
        </w:trPr>
        <w:tc>
          <w:tcPr>
            <w:tcW w:w="1596" w:type="pct"/>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Exchange</w:t>
            </w:r>
          </w:p>
        </w:tc>
        <w:tc>
          <w:tcPr>
            <w:tcW w:w="3404" w:type="pct"/>
            <w:gridSpan w:val="6"/>
            <w:tcBorders>
              <w:top w:val="single" w:sz="8" w:space="0" w:color="auto"/>
              <w:left w:val="nil"/>
              <w:bottom w:val="single" w:sz="8" w:space="0" w:color="auto"/>
              <w:right w:val="single" w:sz="8" w:space="0" w:color="000000"/>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Apr-21</w:t>
            </w:r>
          </w:p>
        </w:tc>
      </w:tr>
      <w:tr w:rsidR="003F4581" w:rsidRPr="00AF27AC" w:rsidTr="00320C82">
        <w:trPr>
          <w:trHeight w:val="218"/>
        </w:trPr>
        <w:tc>
          <w:tcPr>
            <w:tcW w:w="1596" w:type="pct"/>
            <w:vMerge/>
            <w:tcBorders>
              <w:top w:val="single" w:sz="8" w:space="0" w:color="auto"/>
              <w:left w:val="single" w:sz="8" w:space="0" w:color="auto"/>
              <w:bottom w:val="single" w:sz="8" w:space="0" w:color="000000"/>
              <w:right w:val="single" w:sz="8"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1698" w:type="pct"/>
            <w:gridSpan w:val="3"/>
            <w:tcBorders>
              <w:top w:val="single" w:sz="8" w:space="0" w:color="auto"/>
              <w:left w:val="nil"/>
              <w:bottom w:val="single" w:sz="8" w:space="0" w:color="auto"/>
              <w:right w:val="single" w:sz="8" w:space="0" w:color="000000"/>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Single Stock Futures</w:t>
            </w:r>
          </w:p>
        </w:tc>
        <w:tc>
          <w:tcPr>
            <w:tcW w:w="1706" w:type="pct"/>
            <w:gridSpan w:val="3"/>
            <w:tcBorders>
              <w:top w:val="single" w:sz="8" w:space="0" w:color="auto"/>
              <w:left w:val="nil"/>
              <w:bottom w:val="single" w:sz="8" w:space="0" w:color="auto"/>
              <w:right w:val="single" w:sz="8" w:space="0" w:color="000000"/>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Single Stock Options</w:t>
            </w:r>
          </w:p>
        </w:tc>
      </w:tr>
      <w:tr w:rsidR="003F4581" w:rsidRPr="00AF27AC" w:rsidTr="00320C82">
        <w:trPr>
          <w:trHeight w:val="208"/>
        </w:trPr>
        <w:tc>
          <w:tcPr>
            <w:tcW w:w="1596" w:type="pct"/>
            <w:vMerge/>
            <w:tcBorders>
              <w:top w:val="single" w:sz="8" w:space="0" w:color="auto"/>
              <w:left w:val="single" w:sz="8" w:space="0" w:color="auto"/>
              <w:bottom w:val="single" w:sz="8" w:space="0" w:color="000000"/>
              <w:right w:val="single" w:sz="8"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569" w:type="pct"/>
            <w:tcBorders>
              <w:top w:val="nil"/>
              <w:left w:val="nil"/>
              <w:bottom w:val="nil"/>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p>
        </w:tc>
        <w:tc>
          <w:tcPr>
            <w:tcW w:w="506" w:type="pct"/>
            <w:tcBorders>
              <w:top w:val="nil"/>
              <w:left w:val="nil"/>
              <w:bottom w:val="nil"/>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p>
        </w:tc>
        <w:tc>
          <w:tcPr>
            <w:tcW w:w="622" w:type="pct"/>
            <w:tcBorders>
              <w:top w:val="nil"/>
              <w:left w:val="nil"/>
              <w:bottom w:val="nil"/>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p>
        </w:tc>
        <w:tc>
          <w:tcPr>
            <w:tcW w:w="576" w:type="pct"/>
            <w:tcBorders>
              <w:top w:val="nil"/>
              <w:left w:val="nil"/>
              <w:bottom w:val="nil"/>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p>
        </w:tc>
        <w:tc>
          <w:tcPr>
            <w:tcW w:w="507" w:type="pct"/>
            <w:tcBorders>
              <w:top w:val="nil"/>
              <w:left w:val="nil"/>
              <w:bottom w:val="nil"/>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p>
        </w:tc>
        <w:tc>
          <w:tcPr>
            <w:tcW w:w="622" w:type="pct"/>
            <w:tcBorders>
              <w:top w:val="nil"/>
              <w:left w:val="nil"/>
              <w:bottom w:val="nil"/>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p>
        </w:tc>
      </w:tr>
      <w:tr w:rsidR="003F4581" w:rsidRPr="00AF27AC" w:rsidTr="00320C82">
        <w:trPr>
          <w:trHeight w:val="364"/>
        </w:trPr>
        <w:tc>
          <w:tcPr>
            <w:tcW w:w="1596" w:type="pct"/>
            <w:vMerge/>
            <w:tcBorders>
              <w:top w:val="single" w:sz="8" w:space="0" w:color="auto"/>
              <w:left w:val="single" w:sz="8" w:space="0" w:color="auto"/>
              <w:bottom w:val="single" w:sz="8" w:space="0" w:color="000000"/>
              <w:right w:val="single" w:sz="8"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569" w:type="pct"/>
            <w:tcBorders>
              <w:top w:val="nil"/>
              <w:left w:val="nil"/>
              <w:bottom w:val="single" w:sz="8" w:space="0" w:color="auto"/>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Contracts Traded</w:t>
            </w:r>
          </w:p>
        </w:tc>
        <w:tc>
          <w:tcPr>
            <w:tcW w:w="506" w:type="pct"/>
            <w:tcBorders>
              <w:top w:val="nil"/>
              <w:left w:val="nil"/>
              <w:bottom w:val="single" w:sz="8" w:space="0" w:color="auto"/>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Turnover</w:t>
            </w:r>
          </w:p>
        </w:tc>
        <w:tc>
          <w:tcPr>
            <w:tcW w:w="622" w:type="pct"/>
            <w:tcBorders>
              <w:top w:val="nil"/>
              <w:left w:val="nil"/>
              <w:bottom w:val="single" w:sz="8" w:space="0" w:color="auto"/>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Interest</w:t>
            </w:r>
          </w:p>
        </w:tc>
        <w:tc>
          <w:tcPr>
            <w:tcW w:w="576" w:type="pct"/>
            <w:tcBorders>
              <w:top w:val="nil"/>
              <w:left w:val="nil"/>
              <w:bottom w:val="single" w:sz="8" w:space="0" w:color="auto"/>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Contracts Traded</w:t>
            </w:r>
          </w:p>
        </w:tc>
        <w:tc>
          <w:tcPr>
            <w:tcW w:w="507" w:type="pct"/>
            <w:tcBorders>
              <w:top w:val="nil"/>
              <w:left w:val="nil"/>
              <w:bottom w:val="single" w:sz="8" w:space="0" w:color="auto"/>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Turnover</w:t>
            </w:r>
          </w:p>
        </w:tc>
        <w:tc>
          <w:tcPr>
            <w:tcW w:w="622" w:type="pct"/>
            <w:tcBorders>
              <w:top w:val="nil"/>
              <w:left w:val="nil"/>
              <w:bottom w:val="single" w:sz="8" w:space="0" w:color="auto"/>
              <w:right w:val="single" w:sz="8"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Interest</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B3 - Brasil Bolsa Balcão</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65,136,300</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340</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33,624,200</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120,407,640</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41,278</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48,046,403</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Bolsa de Valores de Colombia</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2,578</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9,306</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Bolsa Mexicana de Valores</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3,750</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3,500</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14,000</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Cboe Global Markets</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120,857,606</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276,857,503</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Nasdaq - US</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183,872,517</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MIAX Exchange Group</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68,198,432</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1,496,189</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ASX Australian Securities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35,711</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65</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305,121</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3,677,111</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9,019</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5,832,252</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Hong Kong Exchanges and Clearing</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166,796</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1,003</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38,615</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10,693,466</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59,610</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10,877,333</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Japan Exchange Group</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20,055</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34,225</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Korea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100,740,437</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82,619</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7,510,854</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147,171</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43,341</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National Stock Exchange of India</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16,938,642</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213,344</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3979,705,975</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33,764,649</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445,013</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1596,782,036</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Singapore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283,069</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48,625</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Taiwan Futures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7,245,298</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46,545</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593,294</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11,588</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150</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5,276</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Thailand Futures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4,489,735</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2,568,948</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Athens Stock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1,017,829</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185</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599,659</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674</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436</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BME Spanish Exchanges</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21,306</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1,509,860</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807,404</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668</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7,091,177</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Borsa Istanbul</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103,821,886</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10,711</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8,573,685</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590,492</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63</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959,306</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Budapest Stock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7,356</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49</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7,279</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Deutsche Boerse AG</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9,216,411</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46,976</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8,913,640</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17,656,805</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77,870</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66,504,378</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Euronext</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2,402,741</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11,826</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2,846,732</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5,905,293</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26,126</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16,411,642</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Moscow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17,418,370</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4,904</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1,911,506</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227,430</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69</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506,740</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Nasdaq Nordic and Baltics</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147,515</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434</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140,542</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1,285,285</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3,196</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3,685,232</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Tehran Stock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4,087,771</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47</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Tel-Aviv Stock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85,780</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96,426</w:t>
            </w:r>
          </w:p>
        </w:tc>
      </w:tr>
      <w:tr w:rsidR="003F4581" w:rsidRPr="00AF27AC" w:rsidTr="00320C82">
        <w:trPr>
          <w:trHeight w:val="20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Warsaw Stock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147,542</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313</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45,249</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18"/>
        </w:trPr>
        <w:tc>
          <w:tcPr>
            <w:tcW w:w="1596" w:type="pct"/>
            <w:tcBorders>
              <w:top w:val="nil"/>
              <w:left w:val="single" w:sz="8" w:space="0" w:color="auto"/>
              <w:bottom w:val="nil"/>
              <w:right w:val="single" w:sz="8" w:space="0" w:color="auto"/>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Dubai Gold and Commodities Exchange</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1,776</w:t>
            </w:r>
          </w:p>
        </w:tc>
        <w:tc>
          <w:tcPr>
            <w:tcW w:w="50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w:t>
            </w:r>
          </w:p>
        </w:tc>
        <w:tc>
          <w:tcPr>
            <w:tcW w:w="622"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184</w:t>
            </w:r>
          </w:p>
        </w:tc>
        <w:tc>
          <w:tcPr>
            <w:tcW w:w="576"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07" w:type="pct"/>
            <w:tcBorders>
              <w:top w:val="nil"/>
              <w:left w:val="nil"/>
              <w:bottom w:val="nil"/>
              <w:right w:val="nil"/>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22"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18"/>
        </w:trPr>
        <w:tc>
          <w:tcPr>
            <w:tcW w:w="1596" w:type="pct"/>
            <w:tcBorders>
              <w:top w:val="single" w:sz="8" w:space="0" w:color="auto"/>
              <w:left w:val="single" w:sz="8" w:space="0" w:color="auto"/>
              <w:bottom w:val="single" w:sz="8" w:space="0" w:color="auto"/>
              <w:right w:val="nil"/>
            </w:tcBorders>
            <w:shd w:val="clear" w:color="000000" w:fill="D9E1F2"/>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Grand Total</w:t>
            </w:r>
          </w:p>
        </w:tc>
        <w:tc>
          <w:tcPr>
            <w:tcW w:w="569"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329,241,308</w:t>
            </w:r>
          </w:p>
        </w:tc>
        <w:tc>
          <w:tcPr>
            <w:tcW w:w="506"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419,343</w:t>
            </w:r>
          </w:p>
        </w:tc>
        <w:tc>
          <w:tcPr>
            <w:tcW w:w="622"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4048,957,024</w:t>
            </w:r>
          </w:p>
        </w:tc>
        <w:tc>
          <w:tcPr>
            <w:tcW w:w="576"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572,300,669</w:t>
            </w:r>
          </w:p>
        </w:tc>
        <w:tc>
          <w:tcPr>
            <w:tcW w:w="507"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2,159,301</w:t>
            </w:r>
          </w:p>
        </w:tc>
        <w:tc>
          <w:tcPr>
            <w:tcW w:w="622" w:type="pct"/>
            <w:tcBorders>
              <w:top w:val="single" w:sz="8" w:space="0" w:color="auto"/>
              <w:left w:val="nil"/>
              <w:bottom w:val="single" w:sz="8" w:space="0" w:color="auto"/>
              <w:right w:val="single" w:sz="8" w:space="0" w:color="auto"/>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2033,747,706</w:t>
            </w:r>
          </w:p>
        </w:tc>
      </w:tr>
    </w:tbl>
    <w:p w:rsidR="003F4581" w:rsidRPr="00E25198" w:rsidRDefault="003F4581" w:rsidP="003F4581">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sidRPr="00E25198">
        <w:rPr>
          <w:rFonts w:ascii="Garamond" w:hAnsi="Garamond"/>
          <w:bCs/>
          <w:sz w:val="18"/>
          <w:szCs w:val="18"/>
        </w:rPr>
        <w:t>NA: Not Available</w:t>
      </w:r>
    </w:p>
    <w:p w:rsidR="003F4581" w:rsidRPr="00E25198" w:rsidRDefault="003F4581" w:rsidP="003F4581">
      <w:pPr>
        <w:tabs>
          <w:tab w:val="left" w:pos="3306"/>
          <w:tab w:val="left" w:pos="4629"/>
          <w:tab w:val="left" w:pos="5685"/>
          <w:tab w:val="left" w:pos="6835"/>
          <w:tab w:val="left" w:pos="7999"/>
          <w:tab w:val="left" w:pos="9070"/>
        </w:tabs>
        <w:spacing w:line="23" w:lineRule="atLeast"/>
        <w:rPr>
          <w:rFonts w:ascii="Garamond" w:hAnsi="Garamond"/>
          <w:bCs/>
          <w:sz w:val="18"/>
          <w:szCs w:val="18"/>
        </w:rPr>
      </w:pPr>
      <w:r w:rsidRPr="00E25198">
        <w:rPr>
          <w:rFonts w:ascii="Garamond" w:hAnsi="Garamond"/>
          <w:bCs/>
          <w:sz w:val="18"/>
          <w:szCs w:val="18"/>
        </w:rPr>
        <w:t>Source: World Federation of Exchanges</w:t>
      </w:r>
    </w:p>
    <w:p w:rsidR="003F4581" w:rsidRPr="00E25198" w:rsidRDefault="003F4581" w:rsidP="003F4581">
      <w:pPr>
        <w:rPr>
          <w:rFonts w:ascii="Garamond" w:eastAsia="Times New Roman" w:hAnsi="Garamond"/>
          <w:bCs/>
          <w:sz w:val="22"/>
          <w:szCs w:val="22"/>
          <w:lang w:val="en-US"/>
        </w:rPr>
      </w:pPr>
    </w:p>
    <w:p w:rsidR="003F4581" w:rsidRPr="00E25198" w:rsidRDefault="003F4581" w:rsidP="003F4581">
      <w:pPr>
        <w:rPr>
          <w:rFonts w:ascii="Garamond" w:eastAsia="Times New Roman" w:hAnsi="Garamond"/>
          <w:bCs/>
          <w:sz w:val="22"/>
          <w:szCs w:val="22"/>
          <w:lang w:val="en-US"/>
        </w:rPr>
      </w:pPr>
      <w:r w:rsidRPr="00E25198">
        <w:rPr>
          <w:rFonts w:ascii="Garamond" w:eastAsia="Times New Roman" w:hAnsi="Garamond"/>
          <w:bCs/>
          <w:sz w:val="22"/>
          <w:szCs w:val="22"/>
          <w:lang w:val="en-US"/>
        </w:rPr>
        <w:br w:type="page"/>
      </w:r>
    </w:p>
    <w:p w:rsidR="003F4581" w:rsidRPr="00E25198" w:rsidRDefault="003F4581" w:rsidP="003F4581">
      <w:pPr>
        <w:spacing w:line="23" w:lineRule="atLeast"/>
        <w:rPr>
          <w:rFonts w:ascii="Garamond" w:eastAsia="Times New Roman" w:hAnsi="Garamond"/>
          <w:b/>
          <w:bCs/>
          <w:szCs w:val="22"/>
          <w:lang w:val="en-US"/>
        </w:rPr>
      </w:pPr>
      <w:r w:rsidRPr="00E25198">
        <w:rPr>
          <w:rFonts w:ascii="Garamond" w:eastAsia="Times New Roman" w:hAnsi="Garamond"/>
          <w:b/>
          <w:bCs/>
          <w:szCs w:val="22"/>
          <w:lang w:val="en-US"/>
        </w:rPr>
        <w:lastRenderedPageBreak/>
        <w:t xml:space="preserve">Table A5: Index Futures and Index Options Traded in Major Exchanges </w:t>
      </w:r>
    </w:p>
    <w:p w:rsidR="003F4581" w:rsidRPr="00E25198" w:rsidRDefault="003F4581" w:rsidP="003F4581">
      <w:pPr>
        <w:spacing w:line="23" w:lineRule="atLeast"/>
        <w:ind w:right="-177"/>
        <w:jc w:val="right"/>
        <w:rPr>
          <w:rFonts w:ascii="Garamond" w:eastAsia="Times New Roman" w:hAnsi="Garamond"/>
          <w:bCs/>
          <w:sz w:val="22"/>
          <w:szCs w:val="22"/>
          <w:lang w:val="en-US"/>
        </w:rPr>
      </w:pPr>
      <w:r w:rsidRPr="00E25198">
        <w:rPr>
          <w:rFonts w:ascii="Garamond" w:hAnsi="Garamond"/>
          <w:bCs/>
          <w:sz w:val="22"/>
          <w:szCs w:val="22"/>
        </w:rPr>
        <w:t>Notional Turnover in (USD million)</w:t>
      </w:r>
    </w:p>
    <w:tbl>
      <w:tblPr>
        <w:tblW w:w="5253" w:type="pct"/>
        <w:tblLook w:val="04A0" w:firstRow="1" w:lastRow="0" w:firstColumn="1" w:lastColumn="0" w:noHBand="0" w:noVBand="1"/>
      </w:tblPr>
      <w:tblGrid>
        <w:gridCol w:w="3454"/>
        <w:gridCol w:w="1181"/>
        <w:gridCol w:w="1083"/>
        <w:gridCol w:w="1102"/>
        <w:gridCol w:w="1279"/>
        <w:gridCol w:w="1100"/>
        <w:gridCol w:w="1179"/>
      </w:tblGrid>
      <w:tr w:rsidR="003F4581" w:rsidRPr="00AF27AC" w:rsidTr="00320C82">
        <w:trPr>
          <w:trHeight w:val="238"/>
        </w:trPr>
        <w:tc>
          <w:tcPr>
            <w:tcW w:w="1664"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Exchange</w:t>
            </w:r>
          </w:p>
        </w:tc>
        <w:tc>
          <w:tcPr>
            <w:tcW w:w="3336" w:type="pct"/>
            <w:gridSpan w:val="6"/>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Apr-21</w:t>
            </w:r>
          </w:p>
        </w:tc>
      </w:tr>
      <w:tr w:rsidR="003F4581" w:rsidRPr="00AF27AC" w:rsidTr="00320C82">
        <w:trPr>
          <w:trHeight w:val="238"/>
        </w:trPr>
        <w:tc>
          <w:tcPr>
            <w:tcW w:w="1664" w:type="pct"/>
            <w:vMerge/>
            <w:tcBorders>
              <w:top w:val="single" w:sz="4" w:space="0" w:color="auto"/>
              <w:left w:val="single" w:sz="4" w:space="0" w:color="auto"/>
              <w:bottom w:val="single" w:sz="4" w:space="0" w:color="auto"/>
              <w:right w:val="single" w:sz="4"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1622" w:type="pct"/>
            <w:gridSpan w:val="3"/>
            <w:tcBorders>
              <w:top w:val="single" w:sz="4" w:space="0" w:color="auto"/>
              <w:left w:val="nil"/>
              <w:bottom w:val="single" w:sz="4" w:space="0" w:color="auto"/>
              <w:right w:val="single" w:sz="4" w:space="0" w:color="000000"/>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Stock Index Futures</w:t>
            </w:r>
          </w:p>
        </w:tc>
        <w:tc>
          <w:tcPr>
            <w:tcW w:w="1715" w:type="pct"/>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Stock Index Options</w:t>
            </w:r>
          </w:p>
        </w:tc>
      </w:tr>
      <w:tr w:rsidR="003F4581" w:rsidRPr="00AF27AC" w:rsidTr="00320C82">
        <w:trPr>
          <w:trHeight w:val="619"/>
        </w:trPr>
        <w:tc>
          <w:tcPr>
            <w:tcW w:w="1664" w:type="pct"/>
            <w:vMerge/>
            <w:tcBorders>
              <w:top w:val="single" w:sz="4" w:space="0" w:color="auto"/>
              <w:left w:val="single" w:sz="4" w:space="0" w:color="auto"/>
              <w:bottom w:val="single" w:sz="4" w:space="0" w:color="auto"/>
              <w:right w:val="single" w:sz="4"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569" w:type="pct"/>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r w:rsidRPr="00AF27AC">
              <w:rPr>
                <w:rFonts w:ascii="Garamond" w:eastAsia="Times New Roman" w:hAnsi="Garamond" w:cs="Calibri"/>
                <w:b/>
                <w:bCs/>
                <w:color w:val="000000"/>
                <w:sz w:val="20"/>
                <w:szCs w:val="20"/>
                <w:lang w:val="en-IN" w:eastAsia="en-IN" w:bidi="hi-IN"/>
              </w:rPr>
              <w:br/>
              <w:t>Contracts Traded</w:t>
            </w:r>
          </w:p>
        </w:tc>
        <w:tc>
          <w:tcPr>
            <w:tcW w:w="522" w:type="pct"/>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r w:rsidRPr="00AF27AC">
              <w:rPr>
                <w:rFonts w:ascii="Garamond" w:eastAsia="Times New Roman" w:hAnsi="Garamond" w:cs="Calibri"/>
                <w:b/>
                <w:bCs/>
                <w:color w:val="000000"/>
                <w:sz w:val="20"/>
                <w:szCs w:val="20"/>
                <w:lang w:val="en-IN" w:eastAsia="en-IN" w:bidi="hi-IN"/>
              </w:rPr>
              <w:br/>
              <w:t>Turnover</w:t>
            </w:r>
          </w:p>
        </w:tc>
        <w:tc>
          <w:tcPr>
            <w:tcW w:w="530" w:type="pct"/>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r w:rsidRPr="00AF27AC">
              <w:rPr>
                <w:rFonts w:ascii="Garamond" w:eastAsia="Times New Roman" w:hAnsi="Garamond" w:cs="Calibri"/>
                <w:b/>
                <w:bCs/>
                <w:color w:val="000000"/>
                <w:sz w:val="20"/>
                <w:szCs w:val="20"/>
                <w:lang w:val="en-IN" w:eastAsia="en-IN" w:bidi="hi-IN"/>
              </w:rPr>
              <w:br/>
              <w:t>Interest</w:t>
            </w:r>
          </w:p>
        </w:tc>
        <w:tc>
          <w:tcPr>
            <w:tcW w:w="616" w:type="pct"/>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r w:rsidRPr="00AF27AC">
              <w:rPr>
                <w:rFonts w:ascii="Garamond" w:eastAsia="Times New Roman" w:hAnsi="Garamond" w:cs="Calibri"/>
                <w:b/>
                <w:bCs/>
                <w:color w:val="000000"/>
                <w:sz w:val="20"/>
                <w:szCs w:val="20"/>
                <w:lang w:val="en-IN" w:eastAsia="en-IN" w:bidi="hi-IN"/>
              </w:rPr>
              <w:br/>
              <w:t>Contracts Traded</w:t>
            </w:r>
          </w:p>
        </w:tc>
        <w:tc>
          <w:tcPr>
            <w:tcW w:w="530" w:type="pct"/>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r w:rsidRPr="00AF27AC">
              <w:rPr>
                <w:rFonts w:ascii="Garamond" w:eastAsia="Times New Roman" w:hAnsi="Garamond" w:cs="Calibri"/>
                <w:b/>
                <w:bCs/>
                <w:color w:val="000000"/>
                <w:sz w:val="20"/>
                <w:szCs w:val="20"/>
                <w:lang w:val="en-IN" w:eastAsia="en-IN" w:bidi="hi-IN"/>
              </w:rPr>
              <w:br/>
              <w:t>Turnover</w:t>
            </w:r>
          </w:p>
        </w:tc>
        <w:tc>
          <w:tcPr>
            <w:tcW w:w="569" w:type="pct"/>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r w:rsidRPr="00AF27AC">
              <w:rPr>
                <w:rFonts w:ascii="Garamond" w:eastAsia="Times New Roman" w:hAnsi="Garamond" w:cs="Calibri"/>
                <w:b/>
                <w:bCs/>
                <w:color w:val="000000"/>
                <w:sz w:val="20"/>
                <w:szCs w:val="20"/>
                <w:lang w:val="en-IN" w:eastAsia="en-IN" w:bidi="hi-IN"/>
              </w:rPr>
              <w:br/>
              <w:t>Interest</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B3 - Brasil Bolsa Balcão</w:t>
            </w:r>
          </w:p>
        </w:tc>
        <w:tc>
          <w:tcPr>
            <w:tcW w:w="569" w:type="pct"/>
            <w:tcBorders>
              <w:top w:val="single" w:sz="8" w:space="0" w:color="auto"/>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325,963,003</w:t>
            </w:r>
          </w:p>
        </w:tc>
        <w:tc>
          <w:tcPr>
            <w:tcW w:w="522" w:type="pct"/>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1,491,559</w:t>
            </w:r>
          </w:p>
        </w:tc>
        <w:tc>
          <w:tcPr>
            <w:tcW w:w="530" w:type="pct"/>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582,747</w:t>
            </w:r>
          </w:p>
        </w:tc>
        <w:tc>
          <w:tcPr>
            <w:tcW w:w="616" w:type="pct"/>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4,295,617</w:t>
            </w:r>
          </w:p>
        </w:tc>
        <w:tc>
          <w:tcPr>
            <w:tcW w:w="530" w:type="pct"/>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4,981</w:t>
            </w:r>
          </w:p>
        </w:tc>
        <w:tc>
          <w:tcPr>
            <w:tcW w:w="569" w:type="pct"/>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572,512</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Bolsa de Valores de Colombia</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2,976</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5,783</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Bolsa Mexicana de Valores</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16,473</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386</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17,101</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302</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199</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Cboe Global Markets</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36,703,334</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23,260,143</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Nasdaq - US</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472,441</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MIAX Exchange Group</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1,561</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5,535</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Matba Rofex</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68,240</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48</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1,840</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616</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CME Group</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86,824,274</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10,975,695</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4,749,446</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11,363,174</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2,550,966</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2,803,273</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Cboe Futures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4,177,642</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368,297</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ASX Australian Securities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683,215</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91,127</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252,919</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379,117</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19,963</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420,912</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Hong Kong Exchanges and Clearing</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7,023,311</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697,220</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522,639</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1,531,430</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163,869</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1,611,144</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Japan Exchange Group</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18,859,056</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944,726</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1,567,392</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1,937,537</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1,551,456</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Korea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7,569,384</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481,300</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569,964</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50,444,695</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4,562,548</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2,651,902</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National Stock Exchange of India</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7,756,774</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97,898</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12,233,610</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902,264,117</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11,212,614</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141,148,190</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Singapore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12,287,913</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1,341,329</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516,560</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1,645,301</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Taiwan Futures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8,097,593</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540,217</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166,564</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16,002,711</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491,284</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442,171</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Thailand Futures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2,838,359</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335,041</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96,893</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47,020</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Bursa Malaysia Derivatives</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214,089</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3,900</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33,557</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544</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127</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China Financial Futures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5,608,164</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1,160,216</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545,398</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2,227,880</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2,873</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168,868</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Athens Stock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27,812</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145</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7,926</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3,968</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21</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2,005</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BME Spanish Exchanges</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492,796</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43,706</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111,109</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66,263</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684</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600,624</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Borsa Istanbul</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7,495,193</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13,112</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539,881</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19,974</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36</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20,809</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Budapest Stock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30,923</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44</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12,270</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Deutsche Boerse AG</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23,701,689</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1,375,849</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10,192,127</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26,502,004</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1,129,725</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52,224,813</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Euronext</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2,469,836</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219,190</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656,333</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1,185,175</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91,964</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628,116</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Moscow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14,462,864</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41,124</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503,640</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1,505,592</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4,383</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441,482</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Nasdaq Nordic and Baltics</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2,432,966</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63,597</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433,086</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483,610</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12,692</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395,106</w:t>
            </w:r>
          </w:p>
        </w:tc>
      </w:tr>
      <w:tr w:rsidR="003F4581" w:rsidRPr="00AF27AC" w:rsidTr="00320C82">
        <w:trPr>
          <w:trHeight w:val="238"/>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Tel-Aviv Stock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1,577,624</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79,352</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124,796</w:t>
            </w:r>
          </w:p>
        </w:tc>
      </w:tr>
      <w:tr w:rsidR="003F4581" w:rsidRPr="00AF27AC" w:rsidTr="00320C82">
        <w:trPr>
          <w:trHeight w:val="250"/>
        </w:trPr>
        <w:tc>
          <w:tcPr>
            <w:tcW w:w="1664" w:type="pct"/>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Warsaw Stock Exchange</w:t>
            </w:r>
          </w:p>
        </w:tc>
        <w:tc>
          <w:tcPr>
            <w:tcW w:w="569" w:type="pct"/>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357,070</w:t>
            </w:r>
          </w:p>
        </w:tc>
        <w:tc>
          <w:tcPr>
            <w:tcW w:w="522"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3,765</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34,456</w:t>
            </w:r>
          </w:p>
        </w:tc>
        <w:tc>
          <w:tcPr>
            <w:tcW w:w="616"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19,211</w:t>
            </w:r>
          </w:p>
        </w:tc>
        <w:tc>
          <w:tcPr>
            <w:tcW w:w="530"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102</w:t>
            </w:r>
          </w:p>
        </w:tc>
        <w:tc>
          <w:tcPr>
            <w:tcW w:w="569" w:type="pct"/>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18,652</w:t>
            </w:r>
          </w:p>
        </w:tc>
      </w:tr>
      <w:tr w:rsidR="003F4581" w:rsidRPr="00AF27AC" w:rsidTr="00320C82">
        <w:trPr>
          <w:trHeight w:val="250"/>
        </w:trPr>
        <w:tc>
          <w:tcPr>
            <w:tcW w:w="1664" w:type="pct"/>
            <w:tcBorders>
              <w:top w:val="single" w:sz="8" w:space="0" w:color="auto"/>
              <w:left w:val="single" w:sz="8" w:space="0" w:color="auto"/>
              <w:bottom w:val="single" w:sz="8" w:space="0" w:color="auto"/>
              <w:right w:val="nil"/>
            </w:tcBorders>
            <w:shd w:val="clear" w:color="000000" w:fill="D9E1F2"/>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Grand Total</w:t>
            </w:r>
          </w:p>
        </w:tc>
        <w:tc>
          <w:tcPr>
            <w:tcW w:w="569"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539,463,176</w:t>
            </w:r>
          </w:p>
        </w:tc>
        <w:tc>
          <w:tcPr>
            <w:tcW w:w="522"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18,244,826</w:t>
            </w:r>
          </w:p>
        </w:tc>
        <w:tc>
          <w:tcPr>
            <w:tcW w:w="530"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35,784,463</w:t>
            </w:r>
          </w:p>
        </w:tc>
        <w:tc>
          <w:tcPr>
            <w:tcW w:w="616"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1059,605,924</w:t>
            </w:r>
          </w:p>
        </w:tc>
        <w:tc>
          <w:tcPr>
            <w:tcW w:w="530" w:type="pct"/>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20,328,079</w:t>
            </w:r>
          </w:p>
        </w:tc>
        <w:tc>
          <w:tcPr>
            <w:tcW w:w="569" w:type="pct"/>
            <w:tcBorders>
              <w:top w:val="single" w:sz="8" w:space="0" w:color="auto"/>
              <w:left w:val="nil"/>
              <w:bottom w:val="single" w:sz="8" w:space="0" w:color="auto"/>
              <w:right w:val="single" w:sz="8" w:space="0" w:color="auto"/>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230,779,621</w:t>
            </w:r>
          </w:p>
        </w:tc>
      </w:tr>
    </w:tbl>
    <w:p w:rsidR="003F4581" w:rsidRPr="00E25198" w:rsidRDefault="003F4581" w:rsidP="003F4581">
      <w:pPr>
        <w:spacing w:line="23" w:lineRule="atLeast"/>
        <w:rPr>
          <w:rFonts w:ascii="Garamond" w:hAnsi="Garamond"/>
          <w:bCs/>
          <w:sz w:val="18"/>
          <w:szCs w:val="18"/>
        </w:rPr>
      </w:pPr>
    </w:p>
    <w:p w:rsidR="003F4581" w:rsidRPr="00E25198" w:rsidRDefault="003F4581" w:rsidP="003F4581">
      <w:pPr>
        <w:spacing w:line="23" w:lineRule="atLeast"/>
        <w:jc w:val="both"/>
        <w:outlineLvl w:val="0"/>
        <w:rPr>
          <w:rFonts w:ascii="Garamond" w:eastAsia="Times New Roman" w:hAnsi="Garamond" w:cs="Calibri"/>
          <w:color w:val="000000"/>
          <w:sz w:val="20"/>
          <w:szCs w:val="20"/>
          <w:lang w:val="en-IN" w:eastAsia="en-IN"/>
        </w:rPr>
      </w:pPr>
      <w:r w:rsidRPr="00E25198">
        <w:rPr>
          <w:rFonts w:ascii="Garamond" w:hAnsi="Garamond"/>
          <w:bCs/>
          <w:sz w:val="18"/>
          <w:szCs w:val="18"/>
        </w:rPr>
        <w:t>NA: Not Available</w:t>
      </w:r>
      <w:r w:rsidRPr="00E25198">
        <w:rPr>
          <w:rFonts w:ascii="Garamond" w:eastAsia="Times New Roman" w:hAnsi="Garamond" w:cs="Calibri"/>
          <w:color w:val="000000"/>
          <w:sz w:val="20"/>
          <w:szCs w:val="20"/>
          <w:lang w:val="en-IN" w:eastAsia="en-IN"/>
        </w:rPr>
        <w:t>.</w:t>
      </w:r>
    </w:p>
    <w:p w:rsidR="003F4581" w:rsidRPr="00E25198" w:rsidRDefault="003F4581" w:rsidP="003F4581">
      <w:pPr>
        <w:spacing w:line="23" w:lineRule="atLeast"/>
        <w:jc w:val="both"/>
        <w:outlineLvl w:val="0"/>
        <w:rPr>
          <w:rFonts w:ascii="Garamond" w:eastAsia="Times New Roman" w:hAnsi="Garamond"/>
          <w:bCs/>
          <w:sz w:val="18"/>
          <w:szCs w:val="18"/>
          <w:lang w:val="en-US"/>
        </w:rPr>
      </w:pPr>
      <w:r w:rsidRPr="00E25198">
        <w:rPr>
          <w:rFonts w:ascii="Garamond" w:hAnsi="Garamond"/>
          <w:bCs/>
          <w:sz w:val="18"/>
          <w:szCs w:val="18"/>
        </w:rPr>
        <w:t>Source: World Federation of Exchanges</w:t>
      </w:r>
      <w:r w:rsidRPr="00E25198">
        <w:rPr>
          <w:rFonts w:ascii="Garamond" w:eastAsia="Times New Roman" w:hAnsi="Garamond"/>
          <w:bCs/>
          <w:sz w:val="18"/>
          <w:szCs w:val="18"/>
          <w:lang w:val="en-US"/>
        </w:rPr>
        <w:tab/>
      </w:r>
    </w:p>
    <w:p w:rsidR="003F4581" w:rsidRPr="00E25198" w:rsidRDefault="003F4581" w:rsidP="003F4581">
      <w:pPr>
        <w:spacing w:line="23" w:lineRule="atLeast"/>
        <w:jc w:val="both"/>
        <w:outlineLvl w:val="0"/>
        <w:rPr>
          <w:rFonts w:ascii="Garamond" w:eastAsia="Times New Roman" w:hAnsi="Garamond"/>
          <w:bCs/>
          <w:sz w:val="18"/>
          <w:szCs w:val="18"/>
          <w:lang w:val="en-US"/>
        </w:rPr>
      </w:pPr>
    </w:p>
    <w:p w:rsidR="003F4581" w:rsidRPr="002061D1" w:rsidRDefault="003F4581" w:rsidP="003F4581">
      <w:pPr>
        <w:rPr>
          <w:rFonts w:ascii="Garamond" w:hAnsi="Garamond"/>
          <w:bCs/>
          <w:sz w:val="22"/>
          <w:szCs w:val="22"/>
        </w:rPr>
      </w:pPr>
      <w:r w:rsidRPr="00E25198">
        <w:rPr>
          <w:rFonts w:ascii="Garamond" w:hAnsi="Garamond"/>
          <w:bCs/>
          <w:sz w:val="22"/>
          <w:szCs w:val="22"/>
        </w:rPr>
        <w:br w:type="page"/>
      </w:r>
    </w:p>
    <w:p w:rsidR="003F4581" w:rsidRPr="002061D1" w:rsidRDefault="003F4581" w:rsidP="003F4581">
      <w:pPr>
        <w:spacing w:line="23" w:lineRule="atLeast"/>
        <w:jc w:val="both"/>
        <w:rPr>
          <w:rFonts w:ascii="Garamond" w:hAnsi="Garamond"/>
          <w:b/>
          <w:sz w:val="28"/>
          <w:lang w:val="en-US"/>
        </w:rPr>
      </w:pPr>
      <w:r w:rsidRPr="002061D1">
        <w:rPr>
          <w:rFonts w:ascii="Garamond" w:hAnsi="Garamond"/>
          <w:b/>
          <w:bCs/>
          <w:szCs w:val="22"/>
        </w:rPr>
        <w:lastRenderedPageBreak/>
        <w:t>Table A6: Currency Futures and Options Traded in Major Exchanges</w:t>
      </w:r>
    </w:p>
    <w:p w:rsidR="003F4581" w:rsidRPr="002061D1" w:rsidRDefault="003F4581" w:rsidP="003F4581">
      <w:pPr>
        <w:ind w:right="-318"/>
        <w:jc w:val="right"/>
        <w:rPr>
          <w:rFonts w:ascii="Garamond" w:eastAsia="Times New Roman" w:hAnsi="Garamond"/>
          <w:bCs/>
          <w:sz w:val="22"/>
          <w:szCs w:val="22"/>
          <w:lang w:val="en-US"/>
        </w:rPr>
      </w:pPr>
      <w:r w:rsidRPr="002061D1">
        <w:rPr>
          <w:rFonts w:ascii="Garamond" w:hAnsi="Garamond"/>
          <w:bCs/>
          <w:sz w:val="22"/>
          <w:szCs w:val="22"/>
        </w:rPr>
        <w:t>Notional Turnover in (USD million)</w:t>
      </w:r>
    </w:p>
    <w:tbl>
      <w:tblPr>
        <w:tblW w:w="10469" w:type="dxa"/>
        <w:tblInd w:w="113" w:type="dxa"/>
        <w:tblLook w:val="04A0" w:firstRow="1" w:lastRow="0" w:firstColumn="1" w:lastColumn="0" w:noHBand="0" w:noVBand="1"/>
      </w:tblPr>
      <w:tblGrid>
        <w:gridCol w:w="3629"/>
        <w:gridCol w:w="1164"/>
        <w:gridCol w:w="1131"/>
        <w:gridCol w:w="1133"/>
        <w:gridCol w:w="1150"/>
        <w:gridCol w:w="1131"/>
        <w:gridCol w:w="1131"/>
      </w:tblGrid>
      <w:tr w:rsidR="003F4581" w:rsidRPr="00AF27AC" w:rsidTr="00320C82">
        <w:trPr>
          <w:trHeight w:val="238"/>
        </w:trPr>
        <w:tc>
          <w:tcPr>
            <w:tcW w:w="3669"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Exchange</w:t>
            </w:r>
          </w:p>
        </w:tc>
        <w:tc>
          <w:tcPr>
            <w:tcW w:w="6800" w:type="dxa"/>
            <w:gridSpan w:val="6"/>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Apr-21</w:t>
            </w:r>
          </w:p>
        </w:tc>
      </w:tr>
      <w:tr w:rsidR="003F4581" w:rsidRPr="00AF27AC" w:rsidTr="00320C82">
        <w:trPr>
          <w:trHeight w:val="238"/>
        </w:trPr>
        <w:tc>
          <w:tcPr>
            <w:tcW w:w="3669" w:type="dxa"/>
            <w:vMerge/>
            <w:tcBorders>
              <w:top w:val="single" w:sz="4" w:space="0" w:color="auto"/>
              <w:left w:val="single" w:sz="4" w:space="0" w:color="auto"/>
              <w:bottom w:val="single" w:sz="4" w:space="0" w:color="auto"/>
              <w:right w:val="single" w:sz="4"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3400" w:type="dxa"/>
            <w:gridSpan w:val="3"/>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Currency Futures</w:t>
            </w:r>
          </w:p>
        </w:tc>
        <w:tc>
          <w:tcPr>
            <w:tcW w:w="3400" w:type="dxa"/>
            <w:gridSpan w:val="3"/>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Currency Options</w:t>
            </w:r>
          </w:p>
        </w:tc>
      </w:tr>
      <w:tr w:rsidR="003F4581" w:rsidRPr="00AF27AC" w:rsidTr="00320C82">
        <w:trPr>
          <w:trHeight w:val="619"/>
        </w:trPr>
        <w:tc>
          <w:tcPr>
            <w:tcW w:w="3669" w:type="dxa"/>
            <w:vMerge/>
            <w:tcBorders>
              <w:top w:val="single" w:sz="4" w:space="0" w:color="auto"/>
              <w:left w:val="single" w:sz="4" w:space="0" w:color="auto"/>
              <w:bottom w:val="single" w:sz="4" w:space="0" w:color="auto"/>
              <w:right w:val="single" w:sz="4"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1133"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r w:rsidRPr="00AF27AC">
              <w:rPr>
                <w:rFonts w:ascii="Garamond" w:eastAsia="Times New Roman" w:hAnsi="Garamond" w:cs="Calibri"/>
                <w:b/>
                <w:bCs/>
                <w:color w:val="000000"/>
                <w:sz w:val="20"/>
                <w:szCs w:val="20"/>
                <w:lang w:val="en-IN" w:eastAsia="en-IN" w:bidi="hi-IN"/>
              </w:rPr>
              <w:br/>
              <w:t>Contracts Traded</w:t>
            </w:r>
          </w:p>
        </w:tc>
        <w:tc>
          <w:tcPr>
            <w:tcW w:w="1133"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r w:rsidRPr="00AF27AC">
              <w:rPr>
                <w:rFonts w:ascii="Garamond" w:eastAsia="Times New Roman" w:hAnsi="Garamond" w:cs="Calibri"/>
                <w:b/>
                <w:bCs/>
                <w:color w:val="000000"/>
                <w:sz w:val="20"/>
                <w:szCs w:val="20"/>
                <w:lang w:val="en-IN" w:eastAsia="en-IN" w:bidi="hi-IN"/>
              </w:rPr>
              <w:br/>
              <w:t>Turnover</w:t>
            </w:r>
          </w:p>
        </w:tc>
        <w:tc>
          <w:tcPr>
            <w:tcW w:w="1133"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r w:rsidRPr="00AF27AC">
              <w:rPr>
                <w:rFonts w:ascii="Garamond" w:eastAsia="Times New Roman" w:hAnsi="Garamond" w:cs="Calibri"/>
                <w:b/>
                <w:bCs/>
                <w:color w:val="000000"/>
                <w:sz w:val="20"/>
                <w:szCs w:val="20"/>
                <w:lang w:val="en-IN" w:eastAsia="en-IN" w:bidi="hi-IN"/>
              </w:rPr>
              <w:br/>
              <w:t>Interest</w:t>
            </w:r>
          </w:p>
        </w:tc>
        <w:tc>
          <w:tcPr>
            <w:tcW w:w="1133"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r w:rsidRPr="00AF27AC">
              <w:rPr>
                <w:rFonts w:ascii="Garamond" w:eastAsia="Times New Roman" w:hAnsi="Garamond" w:cs="Calibri"/>
                <w:b/>
                <w:bCs/>
                <w:color w:val="000000"/>
                <w:sz w:val="20"/>
                <w:szCs w:val="20"/>
                <w:lang w:val="en-IN" w:eastAsia="en-IN" w:bidi="hi-IN"/>
              </w:rPr>
              <w:br/>
              <w:t>Contracts Traded</w:t>
            </w:r>
          </w:p>
        </w:tc>
        <w:tc>
          <w:tcPr>
            <w:tcW w:w="1133"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r w:rsidRPr="00AF27AC">
              <w:rPr>
                <w:rFonts w:ascii="Garamond" w:eastAsia="Times New Roman" w:hAnsi="Garamond" w:cs="Calibri"/>
                <w:b/>
                <w:bCs/>
                <w:color w:val="000000"/>
                <w:sz w:val="20"/>
                <w:szCs w:val="20"/>
                <w:lang w:val="en-IN" w:eastAsia="en-IN" w:bidi="hi-IN"/>
              </w:rPr>
              <w:br/>
              <w:t>Turnover</w:t>
            </w:r>
          </w:p>
        </w:tc>
        <w:tc>
          <w:tcPr>
            <w:tcW w:w="1133"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r w:rsidRPr="00AF27AC">
              <w:rPr>
                <w:rFonts w:ascii="Garamond" w:eastAsia="Times New Roman" w:hAnsi="Garamond" w:cs="Calibri"/>
                <w:b/>
                <w:bCs/>
                <w:color w:val="000000"/>
                <w:sz w:val="20"/>
                <w:szCs w:val="20"/>
                <w:lang w:val="en-IN" w:eastAsia="en-IN" w:bidi="hi-IN"/>
              </w:rPr>
              <w:br/>
              <w:t>Interest</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B3 - Brasil Bolsa Balcão</w:t>
            </w:r>
          </w:p>
        </w:tc>
        <w:tc>
          <w:tcPr>
            <w:tcW w:w="1133" w:type="dxa"/>
            <w:tcBorders>
              <w:top w:val="single" w:sz="8" w:space="0" w:color="auto"/>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72,590,890</w:t>
            </w:r>
          </w:p>
        </w:tc>
        <w:tc>
          <w:tcPr>
            <w:tcW w:w="1133"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975,846</w:t>
            </w:r>
          </w:p>
        </w:tc>
        <w:tc>
          <w:tcPr>
            <w:tcW w:w="1133"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2,432,625</w:t>
            </w:r>
          </w:p>
        </w:tc>
        <w:tc>
          <w:tcPr>
            <w:tcW w:w="1133"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403,437</w:t>
            </w:r>
          </w:p>
        </w:tc>
        <w:tc>
          <w:tcPr>
            <w:tcW w:w="1133"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335</w:t>
            </w:r>
          </w:p>
        </w:tc>
        <w:tc>
          <w:tcPr>
            <w:tcW w:w="1133"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838,597</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Bolsa de Valores de Colombia</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22,770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950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12,511</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Bolsa Mexicana de Valores</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132,322</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1,326</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616,986</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1,620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4,105</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Matba Rofex</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7,912,956</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8,405</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2,488,679</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1,294</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1,397</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CME Group</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13,369,358</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1,297,992</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1,773,477</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647,571</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76,431</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524,371</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Hong Kong Exchanges and Clearing</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155,460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10,625</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27,276</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705</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71</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2,502</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Korea Exchange</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8,070,210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80,853</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933,020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National Stock Exchange of India</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77,097,710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80,998</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4,430,297</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119,090,619</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120,290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3,471,214</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Singapore Exchange</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2,236,144</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136,586</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306</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331</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Taiwan Futures Exchange</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20,441</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613</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2,584</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385</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Thailand Futures Exchange</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332,875</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41,781</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Borsa Istanbul</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6,294,151</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6,423</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1,916,062</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31,439</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31</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31,827</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Budapest Stock Exchange</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617,774</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734</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519,897</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Moscow Exchange</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86,921,808</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90,342</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3,793,294</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2,434,798</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2,583</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2,008,934</w:t>
            </w:r>
          </w:p>
        </w:tc>
      </w:tr>
      <w:tr w:rsidR="003F4581" w:rsidRPr="00AF27AC" w:rsidTr="00320C82">
        <w:trPr>
          <w:trHeight w:val="238"/>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Tel-Aviv Stock Exchange</w:t>
            </w:r>
          </w:p>
        </w:tc>
        <w:tc>
          <w:tcPr>
            <w:tcW w:w="1133"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1,176,775</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11,852</w:t>
            </w:r>
          </w:p>
        </w:tc>
        <w:tc>
          <w:tcPr>
            <w:tcW w:w="1133"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622,304</w:t>
            </w:r>
          </w:p>
        </w:tc>
      </w:tr>
      <w:tr w:rsidR="003F4581" w:rsidRPr="00AF27AC" w:rsidTr="00320C82">
        <w:trPr>
          <w:trHeight w:val="250"/>
        </w:trPr>
        <w:tc>
          <w:tcPr>
            <w:tcW w:w="3669"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Dubai Gold and Commodities Exchange</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650,475</w:t>
            </w:r>
          </w:p>
        </w:tc>
        <w:tc>
          <w:tcPr>
            <w:tcW w:w="1133"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3,575</w:t>
            </w:r>
          </w:p>
        </w:tc>
        <w:tc>
          <w:tcPr>
            <w:tcW w:w="1133"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177,020</w:t>
            </w:r>
          </w:p>
        </w:tc>
        <w:tc>
          <w:tcPr>
            <w:tcW w:w="1133"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33"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33"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r>
      <w:tr w:rsidR="003F4581" w:rsidRPr="00AF27AC" w:rsidTr="00320C82">
        <w:trPr>
          <w:trHeight w:val="250"/>
        </w:trPr>
        <w:tc>
          <w:tcPr>
            <w:tcW w:w="3669" w:type="dxa"/>
            <w:tcBorders>
              <w:top w:val="single" w:sz="8" w:space="0" w:color="auto"/>
              <w:left w:val="single" w:sz="8" w:space="0" w:color="auto"/>
              <w:bottom w:val="single" w:sz="8" w:space="0" w:color="auto"/>
              <w:right w:val="nil"/>
            </w:tcBorders>
            <w:shd w:val="clear" w:color="000000" w:fill="D9E1F2"/>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Grand Total</w:t>
            </w:r>
          </w:p>
        </w:tc>
        <w:tc>
          <w:tcPr>
            <w:tcW w:w="1133"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276,425,344</w:t>
            </w:r>
          </w:p>
        </w:tc>
        <w:tc>
          <w:tcPr>
            <w:tcW w:w="1133"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2,558,683</w:t>
            </w:r>
          </w:p>
        </w:tc>
        <w:tc>
          <w:tcPr>
            <w:tcW w:w="1133"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19,302,095</w:t>
            </w:r>
          </w:p>
        </w:tc>
        <w:tc>
          <w:tcPr>
            <w:tcW w:w="1133"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123,788,568</w:t>
            </w:r>
          </w:p>
        </w:tc>
        <w:tc>
          <w:tcPr>
            <w:tcW w:w="1133"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211,610</w:t>
            </w:r>
          </w:p>
        </w:tc>
        <w:tc>
          <w:tcPr>
            <w:tcW w:w="1133" w:type="dxa"/>
            <w:tcBorders>
              <w:top w:val="nil"/>
              <w:left w:val="nil"/>
              <w:bottom w:val="single" w:sz="8" w:space="0" w:color="auto"/>
              <w:right w:val="single" w:sz="8" w:space="0" w:color="auto"/>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7,505,975</w:t>
            </w:r>
          </w:p>
        </w:tc>
      </w:tr>
    </w:tbl>
    <w:p w:rsidR="003F4581" w:rsidRPr="002061D1" w:rsidRDefault="003F4581" w:rsidP="003F4581">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p>
    <w:p w:rsidR="003F4581" w:rsidRPr="002061D1" w:rsidRDefault="003F4581" w:rsidP="003F4581">
      <w:pPr>
        <w:spacing w:line="23" w:lineRule="atLeast"/>
        <w:jc w:val="both"/>
        <w:rPr>
          <w:rFonts w:ascii="Garamond" w:hAnsi="Garamond"/>
          <w:bCs/>
          <w:sz w:val="18"/>
          <w:szCs w:val="18"/>
        </w:rPr>
      </w:pPr>
      <w:r w:rsidRPr="002061D1">
        <w:rPr>
          <w:rFonts w:ascii="Garamond" w:hAnsi="Garamond"/>
          <w:bCs/>
          <w:sz w:val="18"/>
          <w:szCs w:val="18"/>
        </w:rPr>
        <w:t>NA: Not Available</w:t>
      </w:r>
    </w:p>
    <w:p w:rsidR="003F4581" w:rsidRPr="002061D1" w:rsidRDefault="003F4581" w:rsidP="003F4581">
      <w:pPr>
        <w:spacing w:line="23" w:lineRule="atLeast"/>
        <w:jc w:val="both"/>
        <w:outlineLvl w:val="0"/>
        <w:rPr>
          <w:rFonts w:ascii="Garamond" w:hAnsi="Garamond"/>
          <w:bCs/>
          <w:sz w:val="18"/>
          <w:szCs w:val="18"/>
        </w:rPr>
      </w:pPr>
      <w:r w:rsidRPr="002061D1">
        <w:rPr>
          <w:rFonts w:ascii="Garamond" w:hAnsi="Garamond"/>
          <w:bCs/>
          <w:sz w:val="18"/>
          <w:szCs w:val="18"/>
        </w:rPr>
        <w:t>Source: World Federation of Exchanges</w:t>
      </w:r>
    </w:p>
    <w:p w:rsidR="003F4581" w:rsidRPr="002061D1" w:rsidRDefault="003F4581" w:rsidP="003F4581">
      <w:pPr>
        <w:spacing w:line="23" w:lineRule="atLeast"/>
        <w:rPr>
          <w:rFonts w:ascii="Garamond" w:hAnsi="Garamond"/>
          <w:bCs/>
          <w:sz w:val="22"/>
          <w:szCs w:val="22"/>
        </w:rPr>
      </w:pPr>
    </w:p>
    <w:p w:rsidR="003F4581" w:rsidRPr="002061D1" w:rsidRDefault="003F4581" w:rsidP="003F4581">
      <w:pPr>
        <w:rPr>
          <w:rFonts w:ascii="Garamond" w:eastAsia="Times New Roman" w:hAnsi="Garamond"/>
          <w:bCs/>
          <w:sz w:val="22"/>
          <w:szCs w:val="22"/>
          <w:lang w:val="en-US"/>
        </w:rPr>
      </w:pPr>
      <w:r>
        <w:rPr>
          <w:rFonts w:ascii="Garamond" w:eastAsia="Times New Roman" w:hAnsi="Garamond"/>
          <w:b/>
          <w:bCs/>
          <w:szCs w:val="22"/>
          <w:lang w:val="en-US"/>
        </w:rPr>
        <w:br w:type="page"/>
      </w:r>
      <w:r w:rsidRPr="002061D1">
        <w:rPr>
          <w:rFonts w:ascii="Garamond" w:eastAsia="Times New Roman" w:hAnsi="Garamond"/>
          <w:b/>
          <w:bCs/>
          <w:szCs w:val="22"/>
          <w:lang w:val="en-US"/>
        </w:rPr>
        <w:lastRenderedPageBreak/>
        <w:t>Table A7: Interest Rate Futures and Options Traded in Major Exchanges</w:t>
      </w:r>
    </w:p>
    <w:p w:rsidR="003F4581" w:rsidRPr="002061D1" w:rsidRDefault="003F4581" w:rsidP="003F4581">
      <w:pPr>
        <w:spacing w:line="23" w:lineRule="atLeast"/>
        <w:ind w:right="-602"/>
        <w:jc w:val="right"/>
        <w:rPr>
          <w:rFonts w:ascii="Garamond" w:eastAsia="Times New Roman" w:hAnsi="Garamond"/>
          <w:bCs/>
          <w:sz w:val="22"/>
          <w:szCs w:val="22"/>
          <w:lang w:val="en-US"/>
        </w:rPr>
      </w:pPr>
      <w:r w:rsidRPr="002061D1">
        <w:rPr>
          <w:rFonts w:ascii="Garamond" w:hAnsi="Garamond"/>
          <w:bCs/>
          <w:sz w:val="22"/>
          <w:szCs w:val="22"/>
        </w:rPr>
        <w:t>Notional Turnover in (USD million)</w:t>
      </w:r>
    </w:p>
    <w:tbl>
      <w:tblPr>
        <w:tblW w:w="10319" w:type="dxa"/>
        <w:tblInd w:w="113" w:type="dxa"/>
        <w:tblLook w:val="04A0" w:firstRow="1" w:lastRow="0" w:firstColumn="1" w:lastColumn="0" w:noHBand="0" w:noVBand="1"/>
      </w:tblPr>
      <w:tblGrid>
        <w:gridCol w:w="3574"/>
        <w:gridCol w:w="1164"/>
        <w:gridCol w:w="1116"/>
        <w:gridCol w:w="1116"/>
        <w:gridCol w:w="1116"/>
        <w:gridCol w:w="1116"/>
        <w:gridCol w:w="1117"/>
      </w:tblGrid>
      <w:tr w:rsidR="003F4581" w:rsidRPr="00AF27AC" w:rsidTr="00320C82">
        <w:trPr>
          <w:trHeight w:val="232"/>
        </w:trPr>
        <w:tc>
          <w:tcPr>
            <w:tcW w:w="361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Exchange</w:t>
            </w:r>
          </w:p>
        </w:tc>
        <w:tc>
          <w:tcPr>
            <w:tcW w:w="6703" w:type="dxa"/>
            <w:gridSpan w:val="6"/>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Apr-21</w:t>
            </w:r>
          </w:p>
        </w:tc>
      </w:tr>
      <w:tr w:rsidR="003F4581" w:rsidRPr="00AF27AC" w:rsidTr="00320C82">
        <w:trPr>
          <w:trHeight w:val="232"/>
        </w:trPr>
        <w:tc>
          <w:tcPr>
            <w:tcW w:w="3616" w:type="dxa"/>
            <w:vMerge/>
            <w:tcBorders>
              <w:top w:val="single" w:sz="4" w:space="0" w:color="auto"/>
              <w:left w:val="single" w:sz="4" w:space="0" w:color="auto"/>
              <w:bottom w:val="single" w:sz="4" w:space="0" w:color="auto"/>
              <w:right w:val="single" w:sz="4"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3351" w:type="dxa"/>
            <w:gridSpan w:val="3"/>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Interest Rate Futures</w:t>
            </w:r>
          </w:p>
        </w:tc>
        <w:tc>
          <w:tcPr>
            <w:tcW w:w="3351" w:type="dxa"/>
            <w:gridSpan w:val="3"/>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Interest Rate Options</w:t>
            </w:r>
          </w:p>
        </w:tc>
      </w:tr>
      <w:tr w:rsidR="003F4581" w:rsidRPr="00AF27AC" w:rsidTr="00320C82">
        <w:trPr>
          <w:trHeight w:val="605"/>
        </w:trPr>
        <w:tc>
          <w:tcPr>
            <w:tcW w:w="3616" w:type="dxa"/>
            <w:vMerge/>
            <w:tcBorders>
              <w:top w:val="single" w:sz="4" w:space="0" w:color="auto"/>
              <w:left w:val="single" w:sz="4" w:space="0" w:color="auto"/>
              <w:bottom w:val="single" w:sz="4" w:space="0" w:color="auto"/>
              <w:right w:val="single" w:sz="4"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111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r w:rsidRPr="00AF27AC">
              <w:rPr>
                <w:rFonts w:ascii="Garamond" w:eastAsia="Times New Roman" w:hAnsi="Garamond" w:cs="Calibri"/>
                <w:b/>
                <w:bCs/>
                <w:color w:val="000000"/>
                <w:sz w:val="20"/>
                <w:szCs w:val="20"/>
                <w:lang w:val="en-IN" w:eastAsia="en-IN" w:bidi="hi-IN"/>
              </w:rPr>
              <w:br/>
              <w:t>Contracts Traded</w:t>
            </w:r>
          </w:p>
        </w:tc>
        <w:tc>
          <w:tcPr>
            <w:tcW w:w="111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r w:rsidRPr="00AF27AC">
              <w:rPr>
                <w:rFonts w:ascii="Garamond" w:eastAsia="Times New Roman" w:hAnsi="Garamond" w:cs="Calibri"/>
                <w:b/>
                <w:bCs/>
                <w:color w:val="000000"/>
                <w:sz w:val="20"/>
                <w:szCs w:val="20"/>
                <w:lang w:val="en-IN" w:eastAsia="en-IN" w:bidi="hi-IN"/>
              </w:rPr>
              <w:br/>
              <w:t>Turnover</w:t>
            </w:r>
          </w:p>
        </w:tc>
        <w:tc>
          <w:tcPr>
            <w:tcW w:w="111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r w:rsidRPr="00AF27AC">
              <w:rPr>
                <w:rFonts w:ascii="Garamond" w:eastAsia="Times New Roman" w:hAnsi="Garamond" w:cs="Calibri"/>
                <w:b/>
                <w:bCs/>
                <w:color w:val="000000"/>
                <w:sz w:val="20"/>
                <w:szCs w:val="20"/>
                <w:lang w:val="en-IN" w:eastAsia="en-IN" w:bidi="hi-IN"/>
              </w:rPr>
              <w:br/>
              <w:t>Interest</w:t>
            </w:r>
          </w:p>
        </w:tc>
        <w:tc>
          <w:tcPr>
            <w:tcW w:w="111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r w:rsidRPr="00AF27AC">
              <w:rPr>
                <w:rFonts w:ascii="Garamond" w:eastAsia="Times New Roman" w:hAnsi="Garamond" w:cs="Calibri"/>
                <w:b/>
                <w:bCs/>
                <w:color w:val="000000"/>
                <w:sz w:val="20"/>
                <w:szCs w:val="20"/>
                <w:lang w:val="en-IN" w:eastAsia="en-IN" w:bidi="hi-IN"/>
              </w:rPr>
              <w:br/>
              <w:t>Contracts Traded</w:t>
            </w:r>
          </w:p>
        </w:tc>
        <w:tc>
          <w:tcPr>
            <w:tcW w:w="111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r w:rsidRPr="00AF27AC">
              <w:rPr>
                <w:rFonts w:ascii="Garamond" w:eastAsia="Times New Roman" w:hAnsi="Garamond" w:cs="Calibri"/>
                <w:b/>
                <w:bCs/>
                <w:color w:val="000000"/>
                <w:sz w:val="20"/>
                <w:szCs w:val="20"/>
                <w:lang w:val="en-IN" w:eastAsia="en-IN" w:bidi="hi-IN"/>
              </w:rPr>
              <w:br/>
              <w:t>Turnover</w:t>
            </w:r>
          </w:p>
        </w:tc>
        <w:tc>
          <w:tcPr>
            <w:tcW w:w="111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r w:rsidRPr="00AF27AC">
              <w:rPr>
                <w:rFonts w:ascii="Garamond" w:eastAsia="Times New Roman" w:hAnsi="Garamond" w:cs="Calibri"/>
                <w:b/>
                <w:bCs/>
                <w:color w:val="000000"/>
                <w:sz w:val="20"/>
                <w:szCs w:val="20"/>
                <w:lang w:val="en-IN" w:eastAsia="en-IN" w:bidi="hi-IN"/>
              </w:rPr>
              <w:br/>
              <w:t>Interest</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B3 - Brasil Bolsa Balcão</w:t>
            </w:r>
          </w:p>
        </w:tc>
        <w:tc>
          <w:tcPr>
            <w:tcW w:w="1117" w:type="dxa"/>
            <w:tcBorders>
              <w:top w:val="single" w:sz="8" w:space="0" w:color="auto"/>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43,578,141</w:t>
            </w:r>
          </w:p>
        </w:tc>
        <w:tc>
          <w:tcPr>
            <w:tcW w:w="1117"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989,845</w:t>
            </w:r>
          </w:p>
        </w:tc>
        <w:tc>
          <w:tcPr>
            <w:tcW w:w="1117"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30,772,200</w:t>
            </w:r>
          </w:p>
        </w:tc>
        <w:tc>
          <w:tcPr>
            <w:tcW w:w="1117"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11,231,853</w:t>
            </w:r>
          </w:p>
        </w:tc>
        <w:tc>
          <w:tcPr>
            <w:tcW w:w="1117"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77</w:t>
            </w:r>
          </w:p>
        </w:tc>
        <w:tc>
          <w:tcPr>
            <w:tcW w:w="1117"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30,899,731</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Bolsa de Valores de Colombia</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9,770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672</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13,393</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Bolsa Mexicana de Valores</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4,000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CME Group</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111,693,023</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59,184,865</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28,002,403</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36,577,125</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20,406,520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41,935,885</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ASX Australian Securities Exchange</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7,463,603</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1,175,868</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3,401,766</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700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54</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Japan Exchange Group</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495,842</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81,222</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22,087</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2,405</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Korea Exchange</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4,290,273</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446,720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503,518</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National Stock Exchange of India</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120,931</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319</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27,378</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Singapore Exchange</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13,294</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12,651</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China Financial Futures Exchange</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1,810,049</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305,490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244,160</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Deutsche Boerse AG</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36,252,791</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6,634,472</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5,544,042</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4,412,062</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847,481</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2,032,363</w:t>
            </w:r>
          </w:p>
        </w:tc>
      </w:tr>
      <w:tr w:rsidR="003F4581" w:rsidRPr="00AF27AC" w:rsidTr="00320C82">
        <w:trPr>
          <w:trHeight w:val="232"/>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Moscow Exchange</w:t>
            </w:r>
          </w:p>
        </w:tc>
        <w:tc>
          <w:tcPr>
            <w:tcW w:w="1117"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13,299</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41,254</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1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44"/>
        </w:trPr>
        <w:tc>
          <w:tcPr>
            <w:tcW w:w="3616"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Nasdaq Nordic and Baltics</w:t>
            </w:r>
          </w:p>
        </w:tc>
        <w:tc>
          <w:tcPr>
            <w:tcW w:w="1117" w:type="dxa"/>
            <w:tcBorders>
              <w:top w:val="nil"/>
              <w:left w:val="single" w:sz="8" w:space="0" w:color="auto"/>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194,033</w:t>
            </w:r>
          </w:p>
        </w:tc>
        <w:tc>
          <w:tcPr>
            <w:tcW w:w="1117"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22,911</w:t>
            </w:r>
          </w:p>
        </w:tc>
        <w:tc>
          <w:tcPr>
            <w:tcW w:w="1117"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1,566,878</w:t>
            </w:r>
          </w:p>
        </w:tc>
        <w:tc>
          <w:tcPr>
            <w:tcW w:w="1117"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457,249</w:t>
            </w:r>
          </w:p>
        </w:tc>
        <w:tc>
          <w:tcPr>
            <w:tcW w:w="1117"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53,991</w:t>
            </w:r>
          </w:p>
        </w:tc>
        <w:tc>
          <w:tcPr>
            <w:tcW w:w="1117" w:type="dxa"/>
            <w:tcBorders>
              <w:top w:val="nil"/>
              <w:left w:val="nil"/>
              <w:bottom w:val="single" w:sz="8" w:space="0" w:color="auto"/>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r>
      <w:tr w:rsidR="003F4581" w:rsidRPr="00AF27AC" w:rsidTr="00320C82">
        <w:trPr>
          <w:trHeight w:val="244"/>
        </w:trPr>
        <w:tc>
          <w:tcPr>
            <w:tcW w:w="3616" w:type="dxa"/>
            <w:tcBorders>
              <w:top w:val="single" w:sz="8" w:space="0" w:color="auto"/>
              <w:left w:val="single" w:sz="8" w:space="0" w:color="auto"/>
              <w:bottom w:val="single" w:sz="8" w:space="0" w:color="auto"/>
              <w:right w:val="nil"/>
            </w:tcBorders>
            <w:shd w:val="clear" w:color="000000" w:fill="D9E1F2"/>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Grand Total</w:t>
            </w:r>
          </w:p>
        </w:tc>
        <w:tc>
          <w:tcPr>
            <w:tcW w:w="1117"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205,935,049</w:t>
            </w:r>
          </w:p>
        </w:tc>
        <w:tc>
          <w:tcPr>
            <w:tcW w:w="1117"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68,761,172</w:t>
            </w:r>
          </w:p>
        </w:tc>
        <w:tc>
          <w:tcPr>
            <w:tcW w:w="1117"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70,214,865</w:t>
            </w:r>
          </w:p>
        </w:tc>
        <w:tc>
          <w:tcPr>
            <w:tcW w:w="1117"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52,701,076</w:t>
            </w:r>
          </w:p>
        </w:tc>
        <w:tc>
          <w:tcPr>
            <w:tcW w:w="1117" w:type="dxa"/>
            <w:tcBorders>
              <w:top w:val="nil"/>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21,308,124</w:t>
            </w:r>
          </w:p>
        </w:tc>
        <w:tc>
          <w:tcPr>
            <w:tcW w:w="1117" w:type="dxa"/>
            <w:tcBorders>
              <w:top w:val="nil"/>
              <w:left w:val="nil"/>
              <w:bottom w:val="single" w:sz="8" w:space="0" w:color="auto"/>
              <w:right w:val="single" w:sz="8" w:space="0" w:color="auto"/>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74,870,384</w:t>
            </w:r>
          </w:p>
        </w:tc>
      </w:tr>
    </w:tbl>
    <w:p w:rsidR="003F4581" w:rsidRPr="002061D1" w:rsidRDefault="003F4581" w:rsidP="003F4581">
      <w:pPr>
        <w:spacing w:line="23" w:lineRule="atLeast"/>
        <w:rPr>
          <w:rFonts w:ascii="Garamond" w:eastAsia="Times New Roman" w:hAnsi="Garamond"/>
          <w:bCs/>
          <w:sz w:val="18"/>
          <w:szCs w:val="18"/>
          <w:lang w:val="en-US"/>
        </w:rPr>
      </w:pPr>
      <w:r w:rsidRPr="002061D1">
        <w:rPr>
          <w:rFonts w:ascii="Garamond" w:eastAsia="Times New Roman" w:hAnsi="Garamond"/>
          <w:bCs/>
          <w:sz w:val="18"/>
          <w:szCs w:val="18"/>
          <w:lang w:val="en-US"/>
        </w:rPr>
        <w:tab/>
      </w:r>
    </w:p>
    <w:p w:rsidR="003F4581" w:rsidRPr="002061D1" w:rsidRDefault="003F4581" w:rsidP="003F4581">
      <w:pPr>
        <w:spacing w:line="23" w:lineRule="atLeast"/>
        <w:jc w:val="both"/>
        <w:rPr>
          <w:rFonts w:ascii="Garamond" w:hAnsi="Garamond"/>
          <w:bCs/>
          <w:sz w:val="18"/>
          <w:szCs w:val="18"/>
        </w:rPr>
      </w:pPr>
      <w:r w:rsidRPr="002061D1">
        <w:rPr>
          <w:rFonts w:ascii="Garamond" w:hAnsi="Garamond"/>
          <w:bCs/>
          <w:sz w:val="18"/>
          <w:szCs w:val="18"/>
        </w:rPr>
        <w:t>NA: Not Available</w:t>
      </w:r>
    </w:p>
    <w:p w:rsidR="003F4581" w:rsidRPr="002061D1" w:rsidRDefault="003F4581" w:rsidP="003F4581">
      <w:pPr>
        <w:spacing w:line="23" w:lineRule="atLeast"/>
        <w:jc w:val="both"/>
        <w:outlineLvl w:val="0"/>
        <w:rPr>
          <w:rFonts w:ascii="Garamond" w:hAnsi="Garamond"/>
          <w:bCs/>
          <w:sz w:val="18"/>
          <w:szCs w:val="18"/>
        </w:rPr>
      </w:pPr>
      <w:r w:rsidRPr="002061D1">
        <w:rPr>
          <w:rFonts w:ascii="Garamond" w:hAnsi="Garamond"/>
          <w:bCs/>
          <w:sz w:val="18"/>
          <w:szCs w:val="18"/>
        </w:rPr>
        <w:t>Source: World Federation of Exchanges</w:t>
      </w:r>
    </w:p>
    <w:p w:rsidR="003F4581" w:rsidRPr="002061D1" w:rsidRDefault="003F4581" w:rsidP="003F4581">
      <w:pPr>
        <w:rPr>
          <w:rFonts w:ascii="Garamond" w:eastAsia="Times New Roman" w:hAnsi="Garamond"/>
          <w:bCs/>
          <w:sz w:val="22"/>
          <w:szCs w:val="22"/>
          <w:lang w:val="en-US"/>
        </w:rPr>
      </w:pPr>
    </w:p>
    <w:p w:rsidR="003F4581" w:rsidRPr="001D2656" w:rsidRDefault="003F4581" w:rsidP="003F4581">
      <w:pPr>
        <w:rPr>
          <w:rFonts w:ascii="Garamond" w:eastAsia="Times New Roman" w:hAnsi="Garamond"/>
          <w:bCs/>
          <w:sz w:val="22"/>
          <w:szCs w:val="22"/>
          <w:lang w:val="en-US"/>
        </w:rPr>
      </w:pPr>
      <w:r w:rsidRPr="001D2656">
        <w:rPr>
          <w:rFonts w:ascii="Garamond" w:eastAsia="Times New Roman" w:hAnsi="Garamond"/>
          <w:bCs/>
          <w:sz w:val="22"/>
          <w:szCs w:val="22"/>
          <w:lang w:val="en-US"/>
        </w:rPr>
        <w:br w:type="page"/>
      </w:r>
    </w:p>
    <w:p w:rsidR="003F4581" w:rsidRPr="001D2656" w:rsidRDefault="003F4581" w:rsidP="003F4581">
      <w:pPr>
        <w:spacing w:line="23" w:lineRule="atLeast"/>
        <w:rPr>
          <w:rFonts w:ascii="Garamond" w:hAnsi="Garamond"/>
          <w:b/>
          <w:bCs/>
          <w:szCs w:val="22"/>
        </w:rPr>
      </w:pPr>
      <w:r w:rsidRPr="001D2656">
        <w:rPr>
          <w:rFonts w:ascii="Garamond" w:eastAsia="Times New Roman" w:hAnsi="Garamond"/>
          <w:b/>
          <w:bCs/>
          <w:szCs w:val="22"/>
          <w:lang w:val="en-US"/>
        </w:rPr>
        <w:lastRenderedPageBreak/>
        <w:t>Table A8: Commodity Futures and Options Traded in Major Exchanges</w:t>
      </w:r>
    </w:p>
    <w:p w:rsidR="003F4581" w:rsidRPr="001D2656" w:rsidRDefault="003F4581" w:rsidP="003F4581">
      <w:pPr>
        <w:spacing w:line="23" w:lineRule="atLeast"/>
        <w:ind w:right="348"/>
        <w:jc w:val="right"/>
        <w:rPr>
          <w:rFonts w:ascii="Garamond" w:hAnsi="Garamond"/>
          <w:bCs/>
          <w:sz w:val="22"/>
          <w:szCs w:val="22"/>
        </w:rPr>
      </w:pPr>
      <w:r w:rsidRPr="001D2656">
        <w:rPr>
          <w:rFonts w:ascii="Garamond" w:hAnsi="Garamond"/>
          <w:bCs/>
          <w:sz w:val="22"/>
          <w:szCs w:val="22"/>
        </w:rPr>
        <w:t>Notional Turnover in (USD million)</w:t>
      </w:r>
    </w:p>
    <w:tbl>
      <w:tblPr>
        <w:tblW w:w="10419" w:type="dxa"/>
        <w:tblInd w:w="113" w:type="dxa"/>
        <w:tblLook w:val="04A0" w:firstRow="1" w:lastRow="0" w:firstColumn="1" w:lastColumn="0" w:noHBand="0" w:noVBand="1"/>
      </w:tblPr>
      <w:tblGrid>
        <w:gridCol w:w="3621"/>
        <w:gridCol w:w="1164"/>
        <w:gridCol w:w="1127"/>
        <w:gridCol w:w="1127"/>
        <w:gridCol w:w="1127"/>
        <w:gridCol w:w="1126"/>
        <w:gridCol w:w="1127"/>
      </w:tblGrid>
      <w:tr w:rsidR="003F4581" w:rsidRPr="00AF27AC" w:rsidTr="00320C82">
        <w:trPr>
          <w:trHeight w:val="233"/>
        </w:trPr>
        <w:tc>
          <w:tcPr>
            <w:tcW w:w="3621"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Exchange</w:t>
            </w:r>
          </w:p>
        </w:tc>
        <w:tc>
          <w:tcPr>
            <w:tcW w:w="6798" w:type="dxa"/>
            <w:gridSpan w:val="6"/>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Apr-21</w:t>
            </w:r>
          </w:p>
        </w:tc>
      </w:tr>
      <w:tr w:rsidR="003F4581" w:rsidRPr="00AF27AC" w:rsidTr="00320C82">
        <w:trPr>
          <w:trHeight w:val="233"/>
        </w:trPr>
        <w:tc>
          <w:tcPr>
            <w:tcW w:w="3621" w:type="dxa"/>
            <w:vMerge/>
            <w:tcBorders>
              <w:top w:val="single" w:sz="4" w:space="0" w:color="auto"/>
              <w:left w:val="single" w:sz="4" w:space="0" w:color="auto"/>
              <w:bottom w:val="single" w:sz="4" w:space="0" w:color="auto"/>
              <w:right w:val="single" w:sz="4"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3418" w:type="dxa"/>
            <w:gridSpan w:val="3"/>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Commodities Futures</w:t>
            </w:r>
          </w:p>
        </w:tc>
        <w:tc>
          <w:tcPr>
            <w:tcW w:w="3380" w:type="dxa"/>
            <w:gridSpan w:val="3"/>
            <w:tcBorders>
              <w:top w:val="single" w:sz="4" w:space="0" w:color="auto"/>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Commodities Options</w:t>
            </w:r>
          </w:p>
        </w:tc>
      </w:tr>
      <w:tr w:rsidR="003F4581" w:rsidRPr="00AF27AC" w:rsidTr="00320C82">
        <w:trPr>
          <w:trHeight w:val="606"/>
        </w:trPr>
        <w:tc>
          <w:tcPr>
            <w:tcW w:w="3621" w:type="dxa"/>
            <w:vMerge/>
            <w:tcBorders>
              <w:top w:val="single" w:sz="4" w:space="0" w:color="auto"/>
              <w:left w:val="single" w:sz="4" w:space="0" w:color="auto"/>
              <w:bottom w:val="single" w:sz="4" w:space="0" w:color="auto"/>
              <w:right w:val="single" w:sz="4" w:space="0" w:color="auto"/>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1164"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r w:rsidRPr="00AF27AC">
              <w:rPr>
                <w:rFonts w:ascii="Garamond" w:eastAsia="Times New Roman" w:hAnsi="Garamond" w:cs="Calibri"/>
                <w:b/>
                <w:bCs/>
                <w:color w:val="000000"/>
                <w:sz w:val="20"/>
                <w:szCs w:val="20"/>
                <w:lang w:val="en-IN" w:eastAsia="en-IN" w:bidi="hi-IN"/>
              </w:rPr>
              <w:br/>
              <w:t>Contracts Traded</w:t>
            </w:r>
          </w:p>
        </w:tc>
        <w:tc>
          <w:tcPr>
            <w:tcW w:w="112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r w:rsidRPr="00AF27AC">
              <w:rPr>
                <w:rFonts w:ascii="Garamond" w:eastAsia="Times New Roman" w:hAnsi="Garamond" w:cs="Calibri"/>
                <w:b/>
                <w:bCs/>
                <w:color w:val="000000"/>
                <w:sz w:val="20"/>
                <w:szCs w:val="20"/>
                <w:lang w:val="en-IN" w:eastAsia="en-IN" w:bidi="hi-IN"/>
              </w:rPr>
              <w:br/>
              <w:t>Turnover</w:t>
            </w:r>
          </w:p>
        </w:tc>
        <w:tc>
          <w:tcPr>
            <w:tcW w:w="112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r w:rsidRPr="00AF27AC">
              <w:rPr>
                <w:rFonts w:ascii="Garamond" w:eastAsia="Times New Roman" w:hAnsi="Garamond" w:cs="Calibri"/>
                <w:b/>
                <w:bCs/>
                <w:color w:val="000000"/>
                <w:sz w:val="20"/>
                <w:szCs w:val="20"/>
                <w:lang w:val="en-IN" w:eastAsia="en-IN" w:bidi="hi-IN"/>
              </w:rPr>
              <w:br/>
              <w:t>Interest</w:t>
            </w:r>
          </w:p>
        </w:tc>
        <w:tc>
          <w:tcPr>
            <w:tcW w:w="112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Number of</w:t>
            </w:r>
            <w:r w:rsidRPr="00AF27AC">
              <w:rPr>
                <w:rFonts w:ascii="Garamond" w:eastAsia="Times New Roman" w:hAnsi="Garamond" w:cs="Calibri"/>
                <w:b/>
                <w:bCs/>
                <w:color w:val="000000"/>
                <w:sz w:val="20"/>
                <w:szCs w:val="20"/>
                <w:lang w:val="en-IN" w:eastAsia="en-IN" w:bidi="hi-IN"/>
              </w:rPr>
              <w:br/>
              <w:t>Contracts Traded</w:t>
            </w:r>
          </w:p>
        </w:tc>
        <w:tc>
          <w:tcPr>
            <w:tcW w:w="1126"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Notional</w:t>
            </w:r>
            <w:r w:rsidRPr="00AF27AC">
              <w:rPr>
                <w:rFonts w:ascii="Garamond" w:eastAsia="Times New Roman" w:hAnsi="Garamond" w:cs="Calibri"/>
                <w:b/>
                <w:bCs/>
                <w:color w:val="000000"/>
                <w:sz w:val="20"/>
                <w:szCs w:val="20"/>
                <w:lang w:val="en-IN" w:eastAsia="en-IN" w:bidi="hi-IN"/>
              </w:rPr>
              <w:br/>
              <w:t>Turnover</w:t>
            </w:r>
          </w:p>
        </w:tc>
        <w:tc>
          <w:tcPr>
            <w:tcW w:w="1127" w:type="dxa"/>
            <w:tcBorders>
              <w:top w:val="nil"/>
              <w:left w:val="nil"/>
              <w:bottom w:val="single" w:sz="4" w:space="0" w:color="auto"/>
              <w:right w:val="single" w:sz="4" w:space="0" w:color="auto"/>
            </w:tcBorders>
            <w:shd w:val="clear" w:color="000000" w:fill="B4C6E7"/>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Open</w:t>
            </w:r>
            <w:r w:rsidRPr="00AF27AC">
              <w:rPr>
                <w:rFonts w:ascii="Garamond" w:eastAsia="Times New Roman" w:hAnsi="Garamond" w:cs="Calibri"/>
                <w:b/>
                <w:bCs/>
                <w:color w:val="000000"/>
                <w:sz w:val="20"/>
                <w:szCs w:val="20"/>
                <w:lang w:val="en-IN" w:eastAsia="en-IN" w:bidi="hi-IN"/>
              </w:rPr>
              <w:br/>
              <w:t>Interest</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B3 - Brasil Bolsa Balcão</w:t>
            </w:r>
          </w:p>
        </w:tc>
        <w:tc>
          <w:tcPr>
            <w:tcW w:w="1164" w:type="dxa"/>
            <w:tcBorders>
              <w:top w:val="single" w:sz="8" w:space="0" w:color="auto"/>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316,787</w:t>
            </w:r>
          </w:p>
        </w:tc>
        <w:tc>
          <w:tcPr>
            <w:tcW w:w="1127"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3,106</w:t>
            </w:r>
          </w:p>
        </w:tc>
        <w:tc>
          <w:tcPr>
            <w:tcW w:w="1127"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119,373</w:t>
            </w:r>
          </w:p>
        </w:tc>
        <w:tc>
          <w:tcPr>
            <w:tcW w:w="1127"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78,414</w:t>
            </w:r>
          </w:p>
        </w:tc>
        <w:tc>
          <w:tcPr>
            <w:tcW w:w="1126"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35</w:t>
            </w:r>
          </w:p>
        </w:tc>
        <w:tc>
          <w:tcPr>
            <w:tcW w:w="1127" w:type="dxa"/>
            <w:tcBorders>
              <w:top w:val="single" w:sz="8" w:space="0" w:color="auto"/>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110,080</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Matba Rofex</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85,991</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1,586</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60,511</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16,550</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24,696</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CME Group</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73,677,402</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4,367,532</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13,863,773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11,983,674</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614,529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10,958,538</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ASX Australian Securities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100,055</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2,725</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171,605</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5,671</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913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45,574</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Hong Kong Exchanges and Clearing</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23,805</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593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884</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National Stock Exchange of India</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4,743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81</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141</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20,390</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128</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3,948</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NZX Limited</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18,739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138</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48,167</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320</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8,648</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Singapore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1,819,838</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1,134,626</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343,206</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686,985</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Taiwan Futures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11,279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213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1,188</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2,672</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243</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Thailand Futures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768,297</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47,546</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Bursa Malaysia Derivatives</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1,198,576</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25,681</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209,793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7,500</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0</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23,600</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Zhengzhou Commodity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220,290,729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1,448,242</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8,804,384</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5,366,060</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632</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756,351</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Dalian Commodity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179,228,157</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1,651,722</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7,963,762</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5,242,329</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867</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887,966</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Multi Commodity Exchange of India</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13,878,859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72,674</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242,808</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457,989</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4,017</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11,777</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Shanghai Futures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217,593,015</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2,870,191</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6,555,378</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2,501,429</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928</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193,834</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Borsa Istanbul</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9,895,655</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3,023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1,428,456</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Deutsche Boerse AG</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505,281</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25,534</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2,231,075</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30,435</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1,013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275,964</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Euronext</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1,621,770</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24,454</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592,311</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170,155</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2,448</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214,675</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Moscow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57,273,047</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39,549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2,300,024</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510,872</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335</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72,252</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Dubai Gold and Commodities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4,475</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64</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1,026</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33"/>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London Metal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10,079,000</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1,540,592</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1,892,049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537,247</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92,149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511,409</w:t>
            </w:r>
          </w:p>
        </w:tc>
      </w:tr>
      <w:tr w:rsidR="003F4581" w:rsidRPr="00AF27AC" w:rsidTr="00320C82">
        <w:trPr>
          <w:trHeight w:val="407"/>
        </w:trPr>
        <w:tc>
          <w:tcPr>
            <w:tcW w:w="3621" w:type="dxa"/>
            <w:tcBorders>
              <w:top w:val="nil"/>
              <w:left w:val="single" w:sz="4" w:space="0" w:color="auto"/>
              <w:bottom w:val="nil"/>
              <w:right w:val="nil"/>
            </w:tcBorders>
            <w:shd w:val="clear" w:color="000000" w:fill="B4C6E7"/>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The Saint-Petersburg International Mercantile Exchange</w:t>
            </w:r>
          </w:p>
        </w:tc>
        <w:tc>
          <w:tcPr>
            <w:tcW w:w="1164" w:type="dxa"/>
            <w:tcBorders>
              <w:top w:val="nil"/>
              <w:left w:val="single" w:sz="8" w:space="0" w:color="auto"/>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10,729</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51</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 xml:space="preserve"> 2,853</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6"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c>
          <w:tcPr>
            <w:tcW w:w="1127" w:type="dxa"/>
            <w:tcBorders>
              <w:top w:val="nil"/>
              <w:left w:val="nil"/>
              <w:bottom w:val="nil"/>
              <w:right w:val="single" w:sz="8" w:space="0" w:color="auto"/>
            </w:tcBorders>
            <w:shd w:val="clear" w:color="auto" w:fill="auto"/>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NA</w:t>
            </w:r>
          </w:p>
        </w:tc>
      </w:tr>
      <w:tr w:rsidR="003F4581" w:rsidRPr="00AF27AC" w:rsidTr="00320C82">
        <w:trPr>
          <w:trHeight w:val="244"/>
        </w:trPr>
        <w:tc>
          <w:tcPr>
            <w:tcW w:w="3621" w:type="dxa"/>
            <w:tcBorders>
              <w:top w:val="single" w:sz="8" w:space="0" w:color="auto"/>
              <w:left w:val="single" w:sz="8" w:space="0" w:color="auto"/>
              <w:bottom w:val="single" w:sz="8" w:space="0" w:color="auto"/>
              <w:right w:val="nil"/>
            </w:tcBorders>
            <w:shd w:val="clear" w:color="000000" w:fill="D9E1F2"/>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Grand Total</w:t>
            </w:r>
          </w:p>
        </w:tc>
        <w:tc>
          <w:tcPr>
            <w:tcW w:w="1164" w:type="dxa"/>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788,406,229</w:t>
            </w:r>
          </w:p>
        </w:tc>
        <w:tc>
          <w:tcPr>
            <w:tcW w:w="1127" w:type="dxa"/>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12,077,752</w:t>
            </w:r>
          </w:p>
        </w:tc>
        <w:tc>
          <w:tcPr>
            <w:tcW w:w="1127" w:type="dxa"/>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47,671,733</w:t>
            </w:r>
          </w:p>
        </w:tc>
        <w:tc>
          <w:tcPr>
            <w:tcW w:w="1127" w:type="dxa"/>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27,274,913</w:t>
            </w:r>
          </w:p>
        </w:tc>
        <w:tc>
          <w:tcPr>
            <w:tcW w:w="1126" w:type="dxa"/>
            <w:tcBorders>
              <w:top w:val="single" w:sz="8" w:space="0" w:color="auto"/>
              <w:left w:val="nil"/>
              <w:bottom w:val="single" w:sz="8" w:space="0" w:color="auto"/>
              <w:right w:val="nil"/>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718,040</w:t>
            </w:r>
          </w:p>
        </w:tc>
        <w:tc>
          <w:tcPr>
            <w:tcW w:w="1127" w:type="dxa"/>
            <w:tcBorders>
              <w:top w:val="single" w:sz="8" w:space="0" w:color="auto"/>
              <w:left w:val="nil"/>
              <w:bottom w:val="single" w:sz="8" w:space="0" w:color="auto"/>
              <w:right w:val="single" w:sz="8" w:space="0" w:color="auto"/>
            </w:tcBorders>
            <w:shd w:val="clear" w:color="000000" w:fill="D9E1F2"/>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xml:space="preserve"> 14,786,540</w:t>
            </w:r>
          </w:p>
        </w:tc>
      </w:tr>
    </w:tbl>
    <w:p w:rsidR="003F4581" w:rsidRPr="001D2656" w:rsidRDefault="003F4581" w:rsidP="003F4581">
      <w:pPr>
        <w:spacing w:line="23" w:lineRule="atLeast"/>
        <w:rPr>
          <w:rFonts w:ascii="Garamond" w:hAnsi="Garamond"/>
          <w:bCs/>
          <w:sz w:val="18"/>
          <w:szCs w:val="18"/>
        </w:rPr>
      </w:pPr>
      <w:r w:rsidRPr="001D2656">
        <w:rPr>
          <w:rFonts w:ascii="Garamond" w:hAnsi="Garamond"/>
          <w:bCs/>
          <w:sz w:val="18"/>
          <w:szCs w:val="18"/>
        </w:rPr>
        <w:t xml:space="preserve"> NA: Not Available</w:t>
      </w:r>
    </w:p>
    <w:p w:rsidR="003F4581" w:rsidRPr="001D2656" w:rsidRDefault="003F4581" w:rsidP="003F4581">
      <w:pPr>
        <w:spacing w:line="23" w:lineRule="atLeast"/>
        <w:jc w:val="both"/>
        <w:outlineLvl w:val="0"/>
        <w:rPr>
          <w:rFonts w:ascii="Garamond" w:hAnsi="Garamond"/>
          <w:bCs/>
          <w:sz w:val="18"/>
          <w:szCs w:val="18"/>
        </w:rPr>
      </w:pPr>
      <w:r w:rsidRPr="001D2656">
        <w:rPr>
          <w:rFonts w:ascii="Garamond" w:hAnsi="Garamond"/>
          <w:bCs/>
          <w:sz w:val="18"/>
          <w:szCs w:val="18"/>
        </w:rPr>
        <w:t>Source: World Federation of Exchanges</w:t>
      </w:r>
    </w:p>
    <w:p w:rsidR="003F4581" w:rsidRPr="001D2656" w:rsidRDefault="003F4581" w:rsidP="003F4581">
      <w:pPr>
        <w:rPr>
          <w:rFonts w:ascii="Times New Roman" w:hAnsi="Times New Roman"/>
          <w:bCs/>
          <w:sz w:val="18"/>
          <w:szCs w:val="18"/>
        </w:rPr>
      </w:pPr>
      <w:r w:rsidRPr="001D2656">
        <w:rPr>
          <w:rFonts w:ascii="Times New Roman" w:hAnsi="Times New Roman"/>
          <w:bCs/>
          <w:sz w:val="18"/>
          <w:szCs w:val="18"/>
        </w:rPr>
        <w:br w:type="page"/>
      </w:r>
    </w:p>
    <w:p w:rsidR="003F4581" w:rsidRPr="001D2656" w:rsidRDefault="003F4581" w:rsidP="003F4581">
      <w:pPr>
        <w:spacing w:line="23" w:lineRule="atLeast"/>
        <w:jc w:val="both"/>
        <w:rPr>
          <w:rFonts w:ascii="Garamond" w:hAnsi="Garamond"/>
          <w:b/>
          <w:bCs/>
          <w:szCs w:val="22"/>
        </w:rPr>
      </w:pPr>
      <w:r w:rsidRPr="001D2656">
        <w:rPr>
          <w:rFonts w:ascii="Garamond" w:hAnsi="Garamond"/>
          <w:b/>
          <w:bCs/>
          <w:szCs w:val="22"/>
        </w:rPr>
        <w:lastRenderedPageBreak/>
        <w:t>Table A9: Major Foreign Holders of US Treasury Securities (USD billion)</w:t>
      </w:r>
    </w:p>
    <w:tbl>
      <w:tblPr>
        <w:tblW w:w="10422" w:type="dxa"/>
        <w:tblInd w:w="118" w:type="dxa"/>
        <w:tblLook w:val="04A0" w:firstRow="1" w:lastRow="0" w:firstColumn="1" w:lastColumn="0" w:noHBand="0" w:noVBand="1"/>
      </w:tblPr>
      <w:tblGrid>
        <w:gridCol w:w="1542"/>
        <w:gridCol w:w="740"/>
        <w:gridCol w:w="740"/>
        <w:gridCol w:w="740"/>
        <w:gridCol w:w="740"/>
        <w:gridCol w:w="740"/>
        <w:gridCol w:w="740"/>
        <w:gridCol w:w="740"/>
        <w:gridCol w:w="740"/>
        <w:gridCol w:w="740"/>
        <w:gridCol w:w="740"/>
        <w:gridCol w:w="740"/>
        <w:gridCol w:w="740"/>
      </w:tblGrid>
      <w:tr w:rsidR="003F4581" w:rsidRPr="00AF27AC" w:rsidTr="002F2984">
        <w:trPr>
          <w:trHeight w:val="279"/>
        </w:trPr>
        <w:tc>
          <w:tcPr>
            <w:tcW w:w="1542" w:type="dxa"/>
            <w:vMerge w:val="restart"/>
            <w:tcBorders>
              <w:top w:val="single" w:sz="8" w:space="0" w:color="auto"/>
              <w:left w:val="single" w:sz="8" w:space="0" w:color="auto"/>
              <w:bottom w:val="nil"/>
              <w:right w:val="single" w:sz="4" w:space="0" w:color="000000"/>
            </w:tcBorders>
            <w:shd w:val="clear" w:color="auto" w:fill="auto"/>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Country/ Month</w:t>
            </w:r>
          </w:p>
        </w:tc>
        <w:tc>
          <w:tcPr>
            <w:tcW w:w="740" w:type="dxa"/>
            <w:tcBorders>
              <w:top w:val="single" w:sz="8" w:space="0" w:color="auto"/>
              <w:left w:val="single" w:sz="8" w:space="0" w:color="auto"/>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single" w:sz="8" w:space="0" w:color="auto"/>
              <w:left w:val="nil"/>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single" w:sz="8" w:space="0" w:color="auto"/>
              <w:left w:val="nil"/>
              <w:bottom w:val="single" w:sz="8" w:space="0" w:color="auto"/>
              <w:right w:val="nil"/>
            </w:tcBorders>
            <w:shd w:val="clear" w:color="000000" w:fill="FFFFFF"/>
            <w:noWrap/>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single" w:sz="8" w:space="0" w:color="auto"/>
              <w:left w:val="nil"/>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single" w:sz="8" w:space="0" w:color="auto"/>
              <w:left w:val="nil"/>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2020</w:t>
            </w:r>
          </w:p>
        </w:tc>
        <w:tc>
          <w:tcPr>
            <w:tcW w:w="740" w:type="dxa"/>
            <w:tcBorders>
              <w:top w:val="single" w:sz="8" w:space="0" w:color="auto"/>
              <w:left w:val="nil"/>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single" w:sz="8" w:space="0" w:color="auto"/>
              <w:left w:val="nil"/>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single" w:sz="8" w:space="0" w:color="auto"/>
              <w:left w:val="nil"/>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single" w:sz="8" w:space="0" w:color="auto"/>
              <w:left w:val="single" w:sz="8" w:space="0" w:color="auto"/>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single" w:sz="8" w:space="0" w:color="auto"/>
              <w:left w:val="nil"/>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single" w:sz="8" w:space="0" w:color="auto"/>
              <w:left w:val="nil"/>
              <w:bottom w:val="single" w:sz="8" w:space="0" w:color="auto"/>
              <w:right w:val="nil"/>
            </w:tcBorders>
            <w:shd w:val="clear" w:color="000000" w:fill="FFFFFF"/>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2021</w:t>
            </w:r>
          </w:p>
        </w:tc>
        <w:tc>
          <w:tcPr>
            <w:tcW w:w="740" w:type="dxa"/>
            <w:tcBorders>
              <w:top w:val="single" w:sz="8" w:space="0" w:color="auto"/>
              <w:left w:val="nil"/>
              <w:bottom w:val="single" w:sz="8" w:space="0" w:color="auto"/>
              <w:right w:val="single" w:sz="8" w:space="0" w:color="auto"/>
            </w:tcBorders>
            <w:shd w:val="clear" w:color="000000" w:fill="FFFFFF"/>
            <w:noWrap/>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r>
      <w:tr w:rsidR="003F4581" w:rsidRPr="00AF27AC" w:rsidTr="002F2984">
        <w:trPr>
          <w:trHeight w:val="279"/>
        </w:trPr>
        <w:tc>
          <w:tcPr>
            <w:tcW w:w="1542" w:type="dxa"/>
            <w:vMerge/>
            <w:tcBorders>
              <w:top w:val="single" w:sz="8" w:space="0" w:color="auto"/>
              <w:left w:val="single" w:sz="8" w:space="0" w:color="auto"/>
              <w:bottom w:val="nil"/>
              <w:right w:val="single" w:sz="4" w:space="0" w:color="000000"/>
            </w:tcBorders>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May</w:t>
            </w:r>
          </w:p>
        </w:tc>
        <w:tc>
          <w:tcPr>
            <w:tcW w:w="740" w:type="dxa"/>
            <w:tcBorders>
              <w:top w:val="nil"/>
              <w:left w:val="single" w:sz="8" w:space="0" w:color="auto"/>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Jun</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Jul</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Aug</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Sep</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Oct</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Nov</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Dec</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Jan</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Feb</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Mar</w:t>
            </w:r>
          </w:p>
        </w:tc>
        <w:tc>
          <w:tcPr>
            <w:tcW w:w="740" w:type="dxa"/>
            <w:tcBorders>
              <w:top w:val="nil"/>
              <w:left w:val="nil"/>
              <w:bottom w:val="nil"/>
              <w:right w:val="single" w:sz="8" w:space="0" w:color="auto"/>
            </w:tcBorders>
            <w:shd w:val="clear" w:color="auto" w:fill="auto"/>
            <w:hideMark/>
          </w:tcPr>
          <w:p w:rsidR="003F4581" w:rsidRPr="00AF27AC" w:rsidRDefault="003F4581" w:rsidP="00320C82">
            <w:pPr>
              <w:jc w:val="cente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Apr</w:t>
            </w:r>
          </w:p>
        </w:tc>
      </w:tr>
      <w:tr w:rsidR="003F4581" w:rsidRPr="00AF27AC" w:rsidTr="002F2984">
        <w:trPr>
          <w:trHeight w:val="266"/>
        </w:trPr>
        <w:tc>
          <w:tcPr>
            <w:tcW w:w="1542" w:type="dxa"/>
            <w:tcBorders>
              <w:top w:val="single" w:sz="8" w:space="0" w:color="auto"/>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Japan</w:t>
            </w:r>
          </w:p>
        </w:tc>
        <w:tc>
          <w:tcPr>
            <w:tcW w:w="740" w:type="dxa"/>
            <w:tcBorders>
              <w:top w:val="single" w:sz="8" w:space="0" w:color="auto"/>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1261.6</w:t>
            </w: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1293</w:t>
            </w:r>
          </w:p>
        </w:tc>
        <w:tc>
          <w:tcPr>
            <w:tcW w:w="740" w:type="dxa"/>
            <w:tcBorders>
              <w:top w:val="single" w:sz="8" w:space="0" w:color="auto"/>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1278.4</w:t>
            </w: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1276.2</w:t>
            </w:r>
          </w:p>
        </w:tc>
        <w:tc>
          <w:tcPr>
            <w:tcW w:w="740" w:type="dxa"/>
            <w:tcBorders>
              <w:top w:val="single" w:sz="8" w:space="0" w:color="auto"/>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1273.1</w:t>
            </w: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1260.8</w:t>
            </w:r>
          </w:p>
        </w:tc>
        <w:tc>
          <w:tcPr>
            <w:tcW w:w="740" w:type="dxa"/>
            <w:tcBorders>
              <w:top w:val="single" w:sz="8" w:space="0" w:color="auto"/>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1251.3</w:t>
            </w: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1276.7</w:t>
            </w:r>
          </w:p>
        </w:tc>
        <w:tc>
          <w:tcPr>
            <w:tcW w:w="740" w:type="dxa"/>
            <w:tcBorders>
              <w:top w:val="single" w:sz="8" w:space="0" w:color="auto"/>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1258</w:t>
            </w:r>
          </w:p>
        </w:tc>
        <w:tc>
          <w:tcPr>
            <w:tcW w:w="740" w:type="dxa"/>
            <w:tcBorders>
              <w:top w:val="single" w:sz="8" w:space="0" w:color="auto"/>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1240.3</w:t>
            </w:r>
          </w:p>
        </w:tc>
        <w:tc>
          <w:tcPr>
            <w:tcW w:w="740" w:type="dxa"/>
            <w:tcBorders>
              <w:top w:val="single" w:sz="8" w:space="0" w:color="auto"/>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1276.8</w:t>
            </w:r>
          </w:p>
        </w:tc>
        <w:tc>
          <w:tcPr>
            <w:tcW w:w="740" w:type="dxa"/>
            <w:tcBorders>
              <w:top w:val="single" w:sz="8" w:space="0" w:color="auto"/>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1266.2</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China, Mainland</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1074.4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1073.4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1068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1061.7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1054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1063</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1072.3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1095.2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1104.2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1100.4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1096.1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1078.4</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United Kingdom</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445.7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424.6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419.4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428.5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442.8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420.5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440.6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438.7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459.5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443.2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431.8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467.7</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Ireland</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330.2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330.7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335.2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315.7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316.3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314.2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318.1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313.6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309.8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304.9</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Luxembourg</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267.3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264.7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268.8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266.2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267.8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287.7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281.4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282.1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282.8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287.6</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Switzerland</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247.3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250.4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253.4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253.3</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257.8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254.8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264.9</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Brazil</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264.1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265.7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265.1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258.3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260.4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255.3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251.8</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Belgium</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218.8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211.8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214.9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218.1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239.5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240.5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253.5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248.2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236.7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235.8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234.8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236.4</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Taiwan</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204.6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209.7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213.5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218.2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222.3</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235.4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239.6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234.5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231.5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236.3</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Cayman Islands</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229.6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222.3</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231.6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221.5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222.9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222.9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217.6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215.2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228.7</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Hong Kong</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262.7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246.7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241.7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226.6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223.8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224.1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223.9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215.9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224.1</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India</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182.7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194.6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196.5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213.5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222.4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220.2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216.2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211.6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204.4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200</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208.7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215.8</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Singapore</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150.5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158.6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160.3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159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163.8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168.1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164.3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161.4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170.2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171.1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176.3</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Saudi Arabia</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124.9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124.6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131.2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134.2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137.6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136.4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135.1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132.9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127.3</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Korea</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123.1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123.2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119.1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125.2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125.7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120.3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123.2</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Canada</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133.9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131.1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131.3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127.4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119.9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126.7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112.7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116.1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121.1</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Norway</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88.7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89.9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90.6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90.5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82.9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87.5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91.5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97.6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94.4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109.3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113.6</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France</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144.1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130</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133.3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135.1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136.9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132.4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111.3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122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108.7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114.9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107.8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109.5</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Germany</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79.4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78.2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78.7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73</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75.4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73.5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77.6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77.8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77.1</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Bermuda</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76.1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73.9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72.6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68.2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67.1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66.3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67.1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66.3</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Netherlands</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68.5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69.8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66.1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65.8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63.7</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Israel</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51.5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58.2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61.4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58.3</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United Arab Emirates</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26.1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32.2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57.3</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Thailand</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85.5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87.9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85.7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83.2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80</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82.2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80.6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66.9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59.8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57</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Poland</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52.6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52.5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54</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Philippines</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50.2</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Mexico</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52.7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49.1</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Kuwait</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46.6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45.9</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Australia</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39.3</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45.4</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Sweden</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37.7</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Chile</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30.1</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27.7</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27.3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39.4</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Vietnam</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32.6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33.2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38.9</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Italy</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43.5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44.2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41.3</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36.8</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36.5</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Colombia</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31.9</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32.4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30.6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35.2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35.1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35.8</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All Other</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536.6</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548.3</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533.3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533.4</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518.5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507.2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501.8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493.4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487.9</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483.6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472.7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481.7</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Grand Total</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7052.1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7096.2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7082</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7069.2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7070.4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7051.2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7070.8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7119.6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7098.7</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7028.4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7070.3</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7135</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Of which:</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rPr>
                <w:rFonts w:ascii="Garamond" w:eastAsia="Times New Roman" w:hAnsi="Garamond" w:cs="Calibri"/>
                <w:b/>
                <w:bCs/>
                <w:color w:val="000000"/>
                <w:sz w:val="20"/>
                <w:szCs w:val="20"/>
                <w:lang w:val="en-IN" w:eastAsia="en-IN" w:bidi="hi-IN"/>
              </w:rPr>
            </w:pPr>
            <w:r w:rsidRPr="00AF27AC">
              <w:rPr>
                <w:rFonts w:ascii="Garamond" w:eastAsia="Times New Roman" w:hAnsi="Garamond" w:cs="Calibri"/>
                <w:b/>
                <w:bCs/>
                <w:color w:val="000000"/>
                <w:sz w:val="20"/>
                <w:szCs w:val="20"/>
                <w:lang w:val="en-IN" w:eastAsia="en-IN" w:bidi="hi-IN"/>
              </w:rPr>
              <w:t> </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For. Official</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4147.1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4191.2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4199.3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4198.9</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4166.8</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4176.2</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4186.5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4224.6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4235.4</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4202.2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4201.6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4226.1</w:t>
            </w:r>
          </w:p>
        </w:tc>
      </w:tr>
      <w:tr w:rsidR="003F4581" w:rsidRPr="00AF27AC" w:rsidTr="002F2984">
        <w:trPr>
          <w:trHeight w:val="266"/>
        </w:trPr>
        <w:tc>
          <w:tcPr>
            <w:tcW w:w="1542" w:type="dxa"/>
            <w:tcBorders>
              <w:top w:val="nil"/>
              <w:left w:val="single" w:sz="8" w:space="0" w:color="auto"/>
              <w:bottom w:val="nil"/>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Treasury Bills</w:t>
            </w:r>
          </w:p>
        </w:tc>
        <w:tc>
          <w:tcPr>
            <w:tcW w:w="740" w:type="dxa"/>
            <w:tcBorders>
              <w:top w:val="nil"/>
              <w:left w:val="single" w:sz="8" w:space="0" w:color="auto"/>
              <w:bottom w:val="nil"/>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382.3</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393.6</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385</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371.5</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375.4</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370.8</w:t>
            </w:r>
          </w:p>
        </w:tc>
        <w:tc>
          <w:tcPr>
            <w:tcW w:w="740" w:type="dxa"/>
            <w:tcBorders>
              <w:top w:val="nil"/>
              <w:left w:val="nil"/>
              <w:bottom w:val="nil"/>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361</w:t>
            </w:r>
          </w:p>
        </w:tc>
        <w:tc>
          <w:tcPr>
            <w:tcW w:w="740" w:type="dxa"/>
            <w:tcBorders>
              <w:top w:val="nil"/>
              <w:left w:val="single" w:sz="8" w:space="0" w:color="auto"/>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378.1</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406.2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360.6</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320.2</w:t>
            </w:r>
          </w:p>
        </w:tc>
        <w:tc>
          <w:tcPr>
            <w:tcW w:w="740" w:type="dxa"/>
            <w:tcBorders>
              <w:top w:val="nil"/>
              <w:left w:val="nil"/>
              <w:bottom w:val="nil"/>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296.1</w:t>
            </w:r>
          </w:p>
        </w:tc>
      </w:tr>
      <w:tr w:rsidR="003F4581" w:rsidRPr="00AF27AC" w:rsidTr="002F2984">
        <w:trPr>
          <w:trHeight w:val="279"/>
        </w:trPr>
        <w:tc>
          <w:tcPr>
            <w:tcW w:w="1542" w:type="dxa"/>
            <w:tcBorders>
              <w:top w:val="nil"/>
              <w:left w:val="single" w:sz="8" w:space="0" w:color="auto"/>
              <w:bottom w:val="single" w:sz="8" w:space="0" w:color="auto"/>
              <w:right w:val="nil"/>
            </w:tcBorders>
            <w:shd w:val="clear" w:color="auto" w:fill="auto"/>
            <w:noWrap/>
            <w:vAlign w:val="center"/>
            <w:hideMark/>
          </w:tcPr>
          <w:p w:rsidR="003F4581" w:rsidRPr="00AF27AC" w:rsidRDefault="003F4581" w:rsidP="00320C82">
            <w:pPr>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T-Bonds &amp; Notes</w:t>
            </w:r>
          </w:p>
        </w:tc>
        <w:tc>
          <w:tcPr>
            <w:tcW w:w="740" w:type="dxa"/>
            <w:tcBorders>
              <w:top w:val="nil"/>
              <w:left w:val="single" w:sz="8" w:space="0" w:color="auto"/>
              <w:bottom w:val="single" w:sz="8" w:space="0" w:color="auto"/>
              <w:right w:val="nil"/>
            </w:tcBorders>
            <w:shd w:val="clear" w:color="auto" w:fill="auto"/>
            <w:noWrap/>
            <w:vAlign w:val="center"/>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3764.8</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3797.6</w:t>
            </w:r>
          </w:p>
        </w:tc>
        <w:tc>
          <w:tcPr>
            <w:tcW w:w="740" w:type="dxa"/>
            <w:tcBorders>
              <w:top w:val="nil"/>
              <w:left w:val="nil"/>
              <w:bottom w:val="single" w:sz="8" w:space="0" w:color="auto"/>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3814.3</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3827.4</w:t>
            </w:r>
          </w:p>
        </w:tc>
        <w:tc>
          <w:tcPr>
            <w:tcW w:w="740" w:type="dxa"/>
            <w:tcBorders>
              <w:top w:val="nil"/>
              <w:left w:val="nil"/>
              <w:bottom w:val="single" w:sz="8" w:space="0" w:color="auto"/>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3791.3</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3805.4</w:t>
            </w:r>
          </w:p>
        </w:tc>
        <w:tc>
          <w:tcPr>
            <w:tcW w:w="740" w:type="dxa"/>
            <w:tcBorders>
              <w:top w:val="nil"/>
              <w:left w:val="nil"/>
              <w:bottom w:val="single" w:sz="8" w:space="0" w:color="auto"/>
              <w:right w:val="nil"/>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3825.6</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3846.6</w:t>
            </w:r>
          </w:p>
        </w:tc>
        <w:tc>
          <w:tcPr>
            <w:tcW w:w="740" w:type="dxa"/>
            <w:tcBorders>
              <w:top w:val="nil"/>
              <w:left w:val="nil"/>
              <w:bottom w:val="single" w:sz="8" w:space="0" w:color="auto"/>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3829.2</w:t>
            </w:r>
          </w:p>
        </w:tc>
        <w:tc>
          <w:tcPr>
            <w:tcW w:w="740" w:type="dxa"/>
            <w:tcBorders>
              <w:top w:val="nil"/>
              <w:left w:val="nil"/>
              <w:bottom w:val="single" w:sz="8" w:space="0" w:color="auto"/>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3841.6</w:t>
            </w:r>
          </w:p>
        </w:tc>
        <w:tc>
          <w:tcPr>
            <w:tcW w:w="740" w:type="dxa"/>
            <w:tcBorders>
              <w:top w:val="nil"/>
              <w:left w:val="nil"/>
              <w:bottom w:val="single" w:sz="8" w:space="0" w:color="auto"/>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3881.4</w:t>
            </w:r>
          </w:p>
        </w:tc>
        <w:tc>
          <w:tcPr>
            <w:tcW w:w="740" w:type="dxa"/>
            <w:tcBorders>
              <w:top w:val="nil"/>
              <w:left w:val="nil"/>
              <w:bottom w:val="single" w:sz="8" w:space="0" w:color="auto"/>
              <w:right w:val="single" w:sz="8" w:space="0" w:color="auto"/>
            </w:tcBorders>
            <w:shd w:val="clear" w:color="auto" w:fill="auto"/>
            <w:noWrap/>
            <w:vAlign w:val="bottom"/>
            <w:hideMark/>
          </w:tcPr>
          <w:p w:rsidR="003F4581" w:rsidRPr="00AF27AC" w:rsidRDefault="003F4581" w:rsidP="00320C82">
            <w:pPr>
              <w:jc w:val="right"/>
              <w:rPr>
                <w:rFonts w:ascii="Garamond" w:eastAsia="Times New Roman" w:hAnsi="Garamond" w:cs="Calibri"/>
                <w:color w:val="000000"/>
                <w:sz w:val="20"/>
                <w:szCs w:val="20"/>
                <w:lang w:val="en-IN" w:eastAsia="en-IN" w:bidi="hi-IN"/>
              </w:rPr>
            </w:pPr>
            <w:r w:rsidRPr="00AF27AC">
              <w:rPr>
                <w:rFonts w:ascii="Garamond" w:eastAsia="Times New Roman" w:hAnsi="Garamond" w:cs="Calibri"/>
                <w:color w:val="000000"/>
                <w:sz w:val="20"/>
                <w:szCs w:val="20"/>
                <w:lang w:val="en-IN" w:eastAsia="en-IN" w:bidi="hi-IN"/>
              </w:rPr>
              <w:t>3930</w:t>
            </w:r>
          </w:p>
        </w:tc>
      </w:tr>
    </w:tbl>
    <w:p w:rsidR="003F4581" w:rsidRPr="001D2656" w:rsidRDefault="003F4581" w:rsidP="003F4581">
      <w:pPr>
        <w:spacing w:line="23" w:lineRule="atLeast"/>
        <w:rPr>
          <w:rFonts w:ascii="Garamond" w:hAnsi="Garamond"/>
          <w:bCs/>
          <w:sz w:val="18"/>
          <w:szCs w:val="18"/>
        </w:rPr>
      </w:pPr>
      <w:r w:rsidRPr="001D2656">
        <w:rPr>
          <w:rFonts w:ascii="Garamond" w:hAnsi="Garamond"/>
          <w:bCs/>
          <w:sz w:val="18"/>
          <w:szCs w:val="18"/>
        </w:rPr>
        <w:t xml:space="preserve"> Note: </w:t>
      </w:r>
    </w:p>
    <w:p w:rsidR="003F4581" w:rsidRPr="001D2656" w:rsidRDefault="003F4581" w:rsidP="003F4581">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 xml:space="preserve">Data available as on </w:t>
      </w:r>
      <w:r>
        <w:rPr>
          <w:rFonts w:ascii="Garamond" w:hAnsi="Garamond"/>
          <w:bCs/>
          <w:sz w:val="18"/>
          <w:szCs w:val="18"/>
          <w:lang w:val="en-US"/>
        </w:rPr>
        <w:t>16 July</w:t>
      </w:r>
      <w:r w:rsidRPr="001D2656">
        <w:rPr>
          <w:rFonts w:ascii="Garamond" w:hAnsi="Garamond"/>
          <w:bCs/>
          <w:sz w:val="18"/>
          <w:szCs w:val="18"/>
          <w:lang w:val="en-US"/>
        </w:rPr>
        <w:t xml:space="preserve"> 2021</w:t>
      </w:r>
    </w:p>
    <w:p w:rsidR="003F4581" w:rsidRPr="001D2656" w:rsidRDefault="003F4581" w:rsidP="003F4581">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rsidR="003F4581" w:rsidRPr="001D2656" w:rsidRDefault="003F4581" w:rsidP="003F4581">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C909C0" w:rsidRDefault="003F4581" w:rsidP="002F2984">
      <w:pPr>
        <w:spacing w:line="23" w:lineRule="atLeast"/>
        <w:rPr>
          <w:rFonts w:ascii="Garamond" w:hAnsi="Garamond"/>
          <w:bCs/>
          <w:sz w:val="18"/>
          <w:szCs w:val="18"/>
        </w:rPr>
      </w:pPr>
      <w:r w:rsidRPr="001D2656">
        <w:rPr>
          <w:rFonts w:ascii="Garamond" w:hAnsi="Garamond"/>
          <w:bCs/>
          <w:sz w:val="18"/>
          <w:szCs w:val="18"/>
        </w:rPr>
        <w:t>Source: Department of the Treasury/Federal Reserve Board</w:t>
      </w:r>
      <w:r w:rsidR="00C909C0">
        <w:rPr>
          <w:rFonts w:ascii="Garamond" w:hAnsi="Garamond"/>
          <w:bCs/>
          <w:sz w:val="18"/>
          <w:szCs w:val="18"/>
        </w:rPr>
        <w:br w:type="page"/>
      </w:r>
    </w:p>
    <w:p w:rsidR="000F236F"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lastRenderedPageBreak/>
        <w:t>HIGHLIGHTS OF DEVELOPMENTS IN</w:t>
      </w:r>
    </w:p>
    <w:p w:rsidR="000F236F" w:rsidRPr="004752BB"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FC6FDB" w:rsidRPr="0067031B" w:rsidRDefault="00FC6FDB" w:rsidP="00FC6FDB">
      <w:pPr>
        <w:shd w:val="clear" w:color="auto" w:fill="FFFFFF"/>
        <w:spacing w:line="276" w:lineRule="auto"/>
        <w:jc w:val="both"/>
        <w:textAlignment w:val="baseline"/>
        <w:rPr>
          <w:rFonts w:ascii="Palatino Linotype" w:hAnsi="Palatino Linotype"/>
          <w:b/>
          <w:bCs/>
          <w:lang w:val="en-US" w:bidi="hi-IN"/>
        </w:rPr>
      </w:pPr>
      <w:r w:rsidRPr="0067031B">
        <w:rPr>
          <w:rFonts w:ascii="Palatino Linotype" w:hAnsi="Palatino Linotype"/>
          <w:b/>
          <w:bCs/>
          <w:lang w:val="en-US" w:bidi="hi-IN"/>
        </w:rPr>
        <w:t xml:space="preserve">1) </w:t>
      </w:r>
      <w:r w:rsidRPr="00D564A7">
        <w:rPr>
          <w:rFonts w:ascii="Palatino Linotype" w:hAnsi="Palatino Linotype"/>
          <w:b/>
          <w:bCs/>
          <w:lang w:val="en-US" w:bidi="hi-IN"/>
        </w:rPr>
        <w:t>IOSCO sees strong support for its vision for an International Sustainability</w:t>
      </w:r>
      <w:r>
        <w:rPr>
          <w:rFonts w:ascii="Palatino Linotype" w:hAnsi="Palatino Linotype"/>
          <w:b/>
          <w:bCs/>
          <w:lang w:val="en-US" w:bidi="hi-IN"/>
        </w:rPr>
        <w:t xml:space="preserve"> </w:t>
      </w:r>
      <w:r w:rsidRPr="00D564A7">
        <w:rPr>
          <w:rFonts w:ascii="Palatino Linotype" w:hAnsi="Palatino Linotype"/>
          <w:b/>
          <w:bCs/>
          <w:lang w:val="en-US" w:bidi="hi-IN"/>
        </w:rPr>
        <w:t>Standards Board under the IFRS Foundation</w:t>
      </w:r>
      <w:r w:rsidRPr="00D564A7">
        <w:rPr>
          <w:rFonts w:ascii="Palatino Linotype" w:hAnsi="Palatino Linotype"/>
          <w:b/>
          <w:bCs/>
          <w:lang w:val="en-US" w:bidi="hi-IN"/>
        </w:rPr>
        <w:cr/>
      </w:r>
    </w:p>
    <w:p w:rsidR="00FC6FDB" w:rsidRPr="00D564A7" w:rsidRDefault="00FC6FDB" w:rsidP="00FC6FDB">
      <w:pPr>
        <w:jc w:val="both"/>
        <w:rPr>
          <w:rFonts w:ascii="Palatino Linotype" w:hAnsi="Palatino Linotype"/>
          <w:lang w:val="en-US" w:bidi="hi-IN"/>
        </w:rPr>
      </w:pPr>
      <w:r w:rsidRPr="00D564A7">
        <w:rPr>
          <w:rFonts w:ascii="Palatino Linotype" w:hAnsi="Palatino Linotype"/>
          <w:lang w:val="en-US" w:bidi="hi-IN"/>
        </w:rPr>
        <w:t>To support its work on securities issuers’ sustainability-related disclosures, the SustainableFinance Taskforce (STF) of the International Organization of Securities Commissions</w:t>
      </w:r>
      <w:r>
        <w:rPr>
          <w:rFonts w:ascii="Palatino Linotype" w:hAnsi="Palatino Linotype"/>
          <w:lang w:val="en-US" w:bidi="hi-IN"/>
        </w:rPr>
        <w:t xml:space="preserve"> </w:t>
      </w:r>
      <w:r w:rsidRPr="00D564A7">
        <w:rPr>
          <w:rFonts w:ascii="Palatino Linotype" w:hAnsi="Palatino Linotype"/>
          <w:lang w:val="en-US" w:bidi="hi-IN"/>
        </w:rPr>
        <w:t>(IOSCO) held two roundtables on  April</w:t>
      </w:r>
      <w:r>
        <w:rPr>
          <w:rFonts w:ascii="Palatino Linotype" w:hAnsi="Palatino Linotype"/>
          <w:lang w:val="en-US" w:bidi="hi-IN"/>
        </w:rPr>
        <w:t xml:space="preserve"> 26</w:t>
      </w:r>
      <w:r w:rsidRPr="00D564A7">
        <w:rPr>
          <w:rFonts w:ascii="Palatino Linotype" w:hAnsi="Palatino Linotype"/>
          <w:lang w:val="en-US" w:bidi="hi-IN"/>
        </w:rPr>
        <w:t xml:space="preserve"> and  May</w:t>
      </w:r>
      <w:r>
        <w:rPr>
          <w:rFonts w:ascii="Palatino Linotype" w:hAnsi="Palatino Linotype"/>
          <w:lang w:val="en-US" w:bidi="hi-IN"/>
        </w:rPr>
        <w:t xml:space="preserve"> 07, </w:t>
      </w:r>
      <w:r w:rsidRPr="00D564A7">
        <w:rPr>
          <w:rFonts w:ascii="Palatino Linotype" w:hAnsi="Palatino Linotype"/>
          <w:lang w:val="en-US" w:bidi="hi-IN"/>
        </w:rPr>
        <w:t xml:space="preserve"> 2021-- the latter jointly organized with</w:t>
      </w:r>
      <w:r>
        <w:rPr>
          <w:rFonts w:ascii="Palatino Linotype" w:hAnsi="Palatino Linotype"/>
          <w:lang w:val="en-US" w:bidi="hi-IN"/>
        </w:rPr>
        <w:t xml:space="preserve"> </w:t>
      </w:r>
      <w:r w:rsidRPr="00D564A7">
        <w:rPr>
          <w:rFonts w:ascii="Palatino Linotype" w:hAnsi="Palatino Linotype"/>
          <w:lang w:val="en-US" w:bidi="hi-IN"/>
        </w:rPr>
        <w:t>the World Economic Forum (WEF). The objective of the roundtables was to engage in a</w:t>
      </w:r>
      <w:r>
        <w:rPr>
          <w:rFonts w:ascii="Palatino Linotype" w:hAnsi="Palatino Linotype"/>
          <w:lang w:val="en-US" w:bidi="hi-IN"/>
        </w:rPr>
        <w:t xml:space="preserve"> </w:t>
      </w:r>
      <w:r w:rsidRPr="00D564A7">
        <w:rPr>
          <w:rFonts w:ascii="Palatino Linotype" w:hAnsi="Palatino Linotype"/>
          <w:lang w:val="en-US" w:bidi="hi-IN"/>
        </w:rPr>
        <w:t>constructive dialogue with global stakeholders on IOSCO’s priorities to enhance the reliability,</w:t>
      </w:r>
      <w:r>
        <w:rPr>
          <w:rFonts w:ascii="Palatino Linotype" w:hAnsi="Palatino Linotype"/>
          <w:lang w:val="en-US" w:bidi="hi-IN"/>
        </w:rPr>
        <w:t xml:space="preserve"> </w:t>
      </w:r>
      <w:r w:rsidRPr="00D564A7">
        <w:rPr>
          <w:rFonts w:ascii="Palatino Linotype" w:hAnsi="Palatino Linotype"/>
          <w:lang w:val="en-US" w:bidi="hi-IN"/>
        </w:rPr>
        <w:t>comparability and consistency of sustainability-related disclosures and collect views on the</w:t>
      </w:r>
    </w:p>
    <w:p w:rsidR="00FC6FDB" w:rsidRDefault="00FC6FDB" w:rsidP="00FC6FDB">
      <w:pPr>
        <w:jc w:val="both"/>
        <w:rPr>
          <w:rFonts w:ascii="Palatino Linotype" w:hAnsi="Palatino Linotype"/>
          <w:lang w:val="en-US" w:bidi="hi-IN"/>
        </w:rPr>
      </w:pPr>
      <w:r w:rsidRPr="00D564A7">
        <w:rPr>
          <w:rFonts w:ascii="Palatino Linotype" w:hAnsi="Palatino Linotype"/>
          <w:lang w:val="en-US" w:bidi="hi-IN"/>
        </w:rPr>
        <w:t>practical implementation of a global system architecture for these disclosures.</w:t>
      </w:r>
    </w:p>
    <w:p w:rsidR="00FC6FDB" w:rsidRPr="00D564A7" w:rsidRDefault="00FC6FDB" w:rsidP="00FC6FDB">
      <w:pPr>
        <w:jc w:val="both"/>
        <w:rPr>
          <w:rFonts w:ascii="Palatino Linotype" w:hAnsi="Palatino Linotype"/>
          <w:lang w:val="en-US" w:bidi="hi-IN"/>
        </w:rPr>
      </w:pPr>
    </w:p>
    <w:p w:rsidR="00FC6FDB" w:rsidRPr="00D564A7" w:rsidRDefault="00FC6FDB" w:rsidP="00FC6FDB">
      <w:pPr>
        <w:jc w:val="both"/>
        <w:rPr>
          <w:rFonts w:ascii="Palatino Linotype" w:hAnsi="Palatino Linotype"/>
          <w:lang w:val="en-US" w:bidi="hi-IN"/>
        </w:rPr>
      </w:pPr>
      <w:r w:rsidRPr="00D564A7">
        <w:rPr>
          <w:rFonts w:ascii="Palatino Linotype" w:hAnsi="Palatino Linotype"/>
          <w:lang w:val="en-US" w:bidi="hi-IN"/>
        </w:rPr>
        <w:t>The roundtables were attended by senior representatives from a wide range of stakeholder</w:t>
      </w:r>
      <w:r>
        <w:rPr>
          <w:rFonts w:ascii="Palatino Linotype" w:hAnsi="Palatino Linotype"/>
          <w:lang w:val="en-US" w:bidi="hi-IN"/>
        </w:rPr>
        <w:t xml:space="preserve"> </w:t>
      </w:r>
    </w:p>
    <w:p w:rsidR="00FC6FDB" w:rsidRPr="00D564A7" w:rsidRDefault="00FC6FDB" w:rsidP="00FC6FDB">
      <w:pPr>
        <w:jc w:val="both"/>
        <w:rPr>
          <w:rFonts w:ascii="Palatino Linotype" w:hAnsi="Palatino Linotype"/>
          <w:lang w:val="en-US" w:bidi="hi-IN"/>
        </w:rPr>
      </w:pPr>
      <w:r w:rsidRPr="00D564A7">
        <w:rPr>
          <w:rFonts w:ascii="Palatino Linotype" w:hAnsi="Palatino Linotype"/>
          <w:lang w:val="en-US" w:bidi="hi-IN"/>
        </w:rPr>
        <w:t>groups, spanning IOSCO STF member jurisdictions, including international and multilateral</w:t>
      </w:r>
    </w:p>
    <w:p w:rsidR="00FC6FDB" w:rsidRPr="00D564A7" w:rsidRDefault="00FC6FDB" w:rsidP="00FC6FDB">
      <w:pPr>
        <w:jc w:val="both"/>
        <w:rPr>
          <w:rFonts w:ascii="Palatino Linotype" w:hAnsi="Palatino Linotype"/>
          <w:lang w:val="en-US" w:bidi="hi-IN"/>
        </w:rPr>
      </w:pPr>
      <w:r w:rsidRPr="00D564A7">
        <w:rPr>
          <w:rFonts w:ascii="Palatino Linotype" w:hAnsi="Palatino Linotype"/>
          <w:lang w:val="en-US" w:bidi="hi-IN"/>
        </w:rPr>
        <w:t>organizations, sustainability reporting organizations; global asset managers and other capital</w:t>
      </w:r>
    </w:p>
    <w:p w:rsidR="00FC6FDB" w:rsidRPr="00D564A7" w:rsidRDefault="00FC6FDB" w:rsidP="00FC6FDB">
      <w:pPr>
        <w:jc w:val="both"/>
        <w:rPr>
          <w:rFonts w:ascii="Palatino Linotype" w:hAnsi="Palatino Linotype"/>
          <w:lang w:val="en-US" w:bidi="hi-IN"/>
        </w:rPr>
      </w:pPr>
      <w:r w:rsidRPr="00D564A7">
        <w:rPr>
          <w:rFonts w:ascii="Palatino Linotype" w:hAnsi="Palatino Linotype"/>
          <w:lang w:val="en-US" w:bidi="hi-IN"/>
        </w:rPr>
        <w:t>markets participants; corporate issuers; accounting firms and the accountancy profession; the</w:t>
      </w:r>
    </w:p>
    <w:p w:rsidR="00FC6FDB" w:rsidRPr="00D564A7" w:rsidRDefault="00FC6FDB" w:rsidP="00FC6FDB">
      <w:pPr>
        <w:jc w:val="both"/>
        <w:rPr>
          <w:rFonts w:ascii="Palatino Linotype" w:hAnsi="Palatino Linotype" w:cs="Calibri"/>
          <w:bCs/>
          <w:lang w:val="en-US" w:bidi="hi-IN"/>
        </w:rPr>
      </w:pPr>
      <w:r w:rsidRPr="00D564A7">
        <w:rPr>
          <w:rFonts w:ascii="Palatino Linotype" w:hAnsi="Palatino Linotype"/>
          <w:lang w:val="en-US" w:bidi="hi-IN"/>
        </w:rPr>
        <w:t>IFRS Foundation; and IOSCO member authorities.</w:t>
      </w:r>
    </w:p>
    <w:p w:rsidR="00FC6FDB" w:rsidRDefault="00FC6FDB" w:rsidP="00FC6FDB">
      <w:pPr>
        <w:jc w:val="both"/>
        <w:rPr>
          <w:rFonts w:ascii="Palatino Linotype" w:hAnsi="Palatino Linotype" w:cs="Calibri"/>
          <w:b/>
        </w:rPr>
      </w:pPr>
    </w:p>
    <w:p w:rsidR="00FC6FDB" w:rsidRPr="0067031B" w:rsidRDefault="00FC6FDB" w:rsidP="00FC6FDB">
      <w:pPr>
        <w:jc w:val="both"/>
        <w:rPr>
          <w:rFonts w:ascii="Palatino Linotype" w:hAnsi="Palatino Linotype" w:cs="Calibri"/>
          <w:b/>
        </w:rPr>
      </w:pPr>
      <w:r w:rsidRPr="0067031B">
        <w:rPr>
          <w:rFonts w:ascii="Palatino Linotype" w:hAnsi="Palatino Linotype" w:cs="Calibri"/>
          <w:b/>
        </w:rPr>
        <w:t xml:space="preserve">Source:  </w:t>
      </w:r>
      <w:r w:rsidRPr="001109EA">
        <w:rPr>
          <w:rFonts w:ascii="Palatino Linotype" w:hAnsi="Palatino Linotype"/>
          <w:b/>
        </w:rPr>
        <w:t>https://www.iosco.org/news/pdf/IOSCONEWS603.pdf</w:t>
      </w:r>
    </w:p>
    <w:p w:rsidR="00FC6FDB" w:rsidRPr="0067031B" w:rsidRDefault="00FC6FDB" w:rsidP="00FC6FDB">
      <w:pPr>
        <w:jc w:val="both"/>
        <w:rPr>
          <w:rFonts w:ascii="Palatino Linotype" w:hAnsi="Palatino Linotype"/>
          <w:i/>
          <w:iCs/>
          <w:lang w:val="en-US" w:bidi="hi-IN"/>
        </w:rPr>
      </w:pPr>
    </w:p>
    <w:p w:rsidR="00FC6FDB" w:rsidRPr="0067031B" w:rsidRDefault="00FC6FDB" w:rsidP="00FC6FDB">
      <w:pPr>
        <w:jc w:val="both"/>
        <w:rPr>
          <w:rFonts w:ascii="Palatino Linotype" w:hAnsi="Palatino Linotype"/>
          <w:b/>
          <w:bCs/>
          <w:lang w:val="en-US" w:bidi="hi-IN"/>
        </w:rPr>
      </w:pPr>
      <w:r w:rsidRPr="0067031B">
        <w:rPr>
          <w:rFonts w:ascii="Palatino Linotype" w:hAnsi="Palatino Linotype"/>
          <w:b/>
          <w:bCs/>
        </w:rPr>
        <w:t>2</w:t>
      </w:r>
      <w:r w:rsidRPr="0067031B">
        <w:rPr>
          <w:rFonts w:ascii="Palatino Linotype" w:hAnsi="Palatino Linotype"/>
          <w:b/>
          <w:bCs/>
          <w:lang w:val="en-US" w:bidi="hi-IN"/>
        </w:rPr>
        <w:t xml:space="preserve">)  </w:t>
      </w:r>
      <w:r w:rsidRPr="001109EA">
        <w:rPr>
          <w:rFonts w:ascii="Palatino Linotype" w:eastAsia="Calibri" w:hAnsi="Palatino Linotype"/>
          <w:b/>
          <w:bCs/>
          <w:lang w:val="en-US" w:bidi="hi-IN"/>
        </w:rPr>
        <w:t>IOSCO to launch 2021 World Investor Week to promote investor education</w:t>
      </w:r>
    </w:p>
    <w:p w:rsidR="00FC6FDB" w:rsidRPr="0067031B" w:rsidRDefault="00FC6FDB" w:rsidP="00FC6FDB">
      <w:pPr>
        <w:jc w:val="both"/>
        <w:rPr>
          <w:rFonts w:ascii="Palatino Linotype" w:eastAsia="Calibri" w:hAnsi="Palatino Linotype"/>
          <w:lang w:val="en-US" w:bidi="hi-IN"/>
        </w:rPr>
      </w:pPr>
    </w:p>
    <w:p w:rsidR="00FC6FDB" w:rsidRPr="001109EA" w:rsidRDefault="00FC6FDB" w:rsidP="00FC6FDB">
      <w:pPr>
        <w:jc w:val="both"/>
        <w:rPr>
          <w:rFonts w:ascii="Palatino Linotype" w:eastAsia="Calibri" w:hAnsi="Palatino Linotype"/>
          <w:lang w:val="en-US" w:bidi="hi-IN"/>
        </w:rPr>
      </w:pPr>
      <w:r w:rsidRPr="001109EA">
        <w:rPr>
          <w:rFonts w:ascii="Palatino Linotype" w:eastAsia="Calibri" w:hAnsi="Palatino Linotype"/>
          <w:lang w:val="en-US" w:bidi="hi-IN"/>
        </w:rPr>
        <w:t>IOSCO is preparing to launch</w:t>
      </w:r>
    </w:p>
    <w:p w:rsidR="00FC6FDB" w:rsidRPr="001109EA" w:rsidRDefault="00FC6FDB" w:rsidP="00FC6FDB">
      <w:pPr>
        <w:jc w:val="both"/>
        <w:rPr>
          <w:rFonts w:ascii="Palatino Linotype" w:eastAsia="Calibri" w:hAnsi="Palatino Linotype"/>
          <w:lang w:val="en-US" w:bidi="hi-IN"/>
        </w:rPr>
      </w:pPr>
      <w:r w:rsidRPr="001109EA">
        <w:rPr>
          <w:rFonts w:ascii="Palatino Linotype" w:eastAsia="Calibri" w:hAnsi="Palatino Linotype"/>
          <w:lang w:val="en-US" w:bidi="hi-IN"/>
        </w:rPr>
        <w:t xml:space="preserve">its fifth annual World Investor Week (WIW) from </w:t>
      </w:r>
      <w:r>
        <w:rPr>
          <w:rFonts w:ascii="Palatino Linotype" w:eastAsia="Calibri" w:hAnsi="Palatino Linotype"/>
          <w:lang w:val="en-US" w:bidi="hi-IN"/>
        </w:rPr>
        <w:t>0</w:t>
      </w:r>
      <w:r w:rsidRPr="001109EA">
        <w:rPr>
          <w:rFonts w:ascii="Palatino Linotype" w:eastAsia="Calibri" w:hAnsi="Palatino Linotype"/>
          <w:lang w:val="en-US" w:bidi="hi-IN"/>
        </w:rPr>
        <w:t xml:space="preserve">4 to 10 October 2021. </w:t>
      </w:r>
      <w:r>
        <w:rPr>
          <w:rFonts w:ascii="Palatino Linotype" w:eastAsia="Calibri" w:hAnsi="Palatino Linotype"/>
          <w:lang w:val="en-US" w:bidi="hi-IN"/>
        </w:rPr>
        <w:t xml:space="preserve"> J</w:t>
      </w:r>
      <w:r w:rsidRPr="001109EA">
        <w:rPr>
          <w:rFonts w:ascii="Palatino Linotype" w:eastAsia="Calibri" w:hAnsi="Palatino Linotype"/>
          <w:lang w:val="en-US" w:bidi="hi-IN"/>
        </w:rPr>
        <w:t>urisdictions can choose any other week of October or November to promote financial and</w:t>
      </w:r>
    </w:p>
    <w:p w:rsidR="00FC6FDB" w:rsidRDefault="00FC6FDB" w:rsidP="00FC6FDB">
      <w:pPr>
        <w:jc w:val="both"/>
        <w:rPr>
          <w:rFonts w:ascii="Palatino Linotype" w:eastAsia="Calibri" w:hAnsi="Palatino Linotype"/>
          <w:lang w:val="en-US" w:bidi="hi-IN"/>
        </w:rPr>
      </w:pPr>
      <w:r w:rsidRPr="001109EA">
        <w:rPr>
          <w:rFonts w:ascii="Palatino Linotype" w:eastAsia="Calibri" w:hAnsi="Palatino Linotype"/>
          <w:lang w:val="en-US" w:bidi="hi-IN"/>
        </w:rPr>
        <w:t>investor education, considering the conditions resulting from the COVID-19 pandemic.</w:t>
      </w:r>
    </w:p>
    <w:p w:rsidR="00FC6FDB" w:rsidRPr="001109EA" w:rsidRDefault="00FC6FDB" w:rsidP="00FC6FDB">
      <w:pPr>
        <w:jc w:val="both"/>
        <w:rPr>
          <w:rFonts w:ascii="Palatino Linotype" w:eastAsia="Calibri" w:hAnsi="Palatino Linotype"/>
          <w:lang w:val="en-US" w:bidi="hi-IN"/>
        </w:rPr>
      </w:pPr>
    </w:p>
    <w:p w:rsidR="00FC6FDB" w:rsidRPr="001109EA" w:rsidRDefault="00FC6FDB" w:rsidP="00FC6FDB">
      <w:pPr>
        <w:jc w:val="both"/>
        <w:rPr>
          <w:rFonts w:ascii="Palatino Linotype" w:eastAsia="Calibri" w:hAnsi="Palatino Linotype"/>
          <w:lang w:val="en-US" w:bidi="hi-IN"/>
        </w:rPr>
      </w:pPr>
      <w:r w:rsidRPr="001109EA">
        <w:rPr>
          <w:rFonts w:ascii="Palatino Linotype" w:eastAsia="Calibri" w:hAnsi="Palatino Linotype"/>
          <w:lang w:val="en-US" w:bidi="hi-IN"/>
        </w:rPr>
        <w:t>IOSCO organizes the WIW, a week-long global campaign, to raise awareness of the</w:t>
      </w:r>
      <w:r>
        <w:rPr>
          <w:rFonts w:ascii="Palatino Linotype" w:eastAsia="Calibri" w:hAnsi="Palatino Linotype"/>
          <w:lang w:val="en-US" w:bidi="hi-IN"/>
        </w:rPr>
        <w:t xml:space="preserve"> </w:t>
      </w:r>
      <w:r w:rsidRPr="001109EA">
        <w:rPr>
          <w:rFonts w:ascii="Palatino Linotype" w:eastAsia="Calibri" w:hAnsi="Palatino Linotype"/>
          <w:lang w:val="en-US" w:bidi="hi-IN"/>
        </w:rPr>
        <w:t>importance of investor education and protection and to highlight the various initiatives of</w:t>
      </w:r>
    </w:p>
    <w:p w:rsidR="00FC6FDB" w:rsidRDefault="00FC6FDB" w:rsidP="00FC6FDB">
      <w:pPr>
        <w:jc w:val="both"/>
        <w:rPr>
          <w:rFonts w:ascii="Palatino Linotype" w:eastAsia="Calibri" w:hAnsi="Palatino Linotype"/>
          <w:lang w:val="en-US" w:bidi="hi-IN"/>
        </w:rPr>
      </w:pPr>
      <w:r w:rsidRPr="001109EA">
        <w:rPr>
          <w:rFonts w:ascii="Palatino Linotype" w:eastAsia="Calibri" w:hAnsi="Palatino Linotype"/>
          <w:lang w:val="en-US" w:bidi="hi-IN"/>
        </w:rPr>
        <w:t>securities regulators in these two critical areas.</w:t>
      </w:r>
    </w:p>
    <w:p w:rsidR="00FC6FDB" w:rsidRDefault="00FC6FDB" w:rsidP="00FC6FDB">
      <w:pPr>
        <w:jc w:val="both"/>
        <w:rPr>
          <w:rFonts w:ascii="Palatino Linotype" w:eastAsia="Calibri" w:hAnsi="Palatino Linotype"/>
          <w:lang w:val="en-US" w:bidi="hi-IN"/>
        </w:rPr>
      </w:pPr>
    </w:p>
    <w:p w:rsidR="00FC6FDB" w:rsidRDefault="00FC6FDB" w:rsidP="00FC6FDB">
      <w:pPr>
        <w:jc w:val="both"/>
        <w:rPr>
          <w:rFonts w:ascii="Palatino Linotype" w:hAnsi="Palatino Linotype"/>
          <w:b/>
        </w:rPr>
      </w:pPr>
      <w:r>
        <w:rPr>
          <w:rFonts w:ascii="Palatino Linotype" w:hAnsi="Palatino Linotype" w:cs="Calibri"/>
          <w:b/>
        </w:rPr>
        <w:t xml:space="preserve">Source: </w:t>
      </w:r>
      <w:r w:rsidRPr="001109EA">
        <w:rPr>
          <w:rFonts w:ascii="Palatino Linotype" w:hAnsi="Palatino Linotype" w:cs="Calibri"/>
          <w:b/>
        </w:rPr>
        <w:t xml:space="preserve"> </w:t>
      </w:r>
      <w:hyperlink r:id="rId48" w:history="1">
        <w:r w:rsidRPr="001109EA">
          <w:rPr>
            <w:rStyle w:val="Hyperlink"/>
            <w:rFonts w:ascii="Palatino Linotype" w:hAnsi="Palatino Linotype"/>
            <w:b/>
            <w:color w:val="auto"/>
            <w:u w:val="none"/>
          </w:rPr>
          <w:t>https://www.iosco.org/news/pdf/IOSCONEWS605.pdf</w:t>
        </w:r>
      </w:hyperlink>
    </w:p>
    <w:p w:rsidR="00FC6FDB" w:rsidRPr="0067031B" w:rsidRDefault="00FC6FDB" w:rsidP="00FC6FDB">
      <w:pPr>
        <w:jc w:val="both"/>
        <w:rPr>
          <w:rFonts w:ascii="Palatino Linotype" w:eastAsia="Calibri" w:hAnsi="Palatino Linotype"/>
          <w:lang w:val="en-US" w:bidi="hi-IN"/>
        </w:rPr>
      </w:pPr>
    </w:p>
    <w:p w:rsidR="00FC6FDB" w:rsidRPr="0067031B" w:rsidRDefault="00FC6FDB" w:rsidP="00FC6FDB">
      <w:pPr>
        <w:jc w:val="both"/>
        <w:rPr>
          <w:rFonts w:ascii="Palatino Linotype" w:hAnsi="Palatino Linotype"/>
          <w:b/>
          <w:bCs/>
          <w:lang w:val="en-US" w:bidi="hi-IN"/>
        </w:rPr>
      </w:pPr>
      <w:r w:rsidRPr="0067031B">
        <w:rPr>
          <w:rFonts w:ascii="Palatino Linotype" w:hAnsi="Palatino Linotype"/>
          <w:b/>
          <w:bCs/>
          <w:lang w:val="en-US" w:bidi="hi-IN"/>
        </w:rPr>
        <w:t xml:space="preserve">3) </w:t>
      </w:r>
      <w:r w:rsidRPr="001109EA">
        <w:rPr>
          <w:rFonts w:ascii="Palatino Linotype" w:eastAsia="Calibri" w:hAnsi="Palatino Linotype"/>
          <w:b/>
          <w:bCs/>
          <w:lang w:val="en-US" w:bidi="hi-IN"/>
        </w:rPr>
        <w:t>FCA proposes stronger protection for consumers in financial markets</w:t>
      </w:r>
    </w:p>
    <w:p w:rsidR="00FC6FDB" w:rsidRPr="0067031B" w:rsidRDefault="00FC6FDB" w:rsidP="00FC6FDB">
      <w:pPr>
        <w:jc w:val="both"/>
        <w:rPr>
          <w:rFonts w:ascii="Palatino Linotype" w:hAnsi="Palatino Linotype"/>
          <w:lang w:val="en-US" w:bidi="hi-IN"/>
        </w:rPr>
      </w:pPr>
    </w:p>
    <w:p w:rsidR="00FC6FDB" w:rsidRDefault="00FC6FDB" w:rsidP="00FC6FDB">
      <w:pPr>
        <w:jc w:val="both"/>
        <w:rPr>
          <w:rFonts w:ascii="Palatino Linotype" w:eastAsia="Calibri" w:hAnsi="Palatino Linotype"/>
          <w:lang w:val="en-US" w:bidi="hi-IN"/>
        </w:rPr>
      </w:pPr>
      <w:r>
        <w:rPr>
          <w:rFonts w:ascii="Palatino Linotype" w:eastAsia="Calibri" w:hAnsi="Palatino Linotype"/>
          <w:lang w:val="en-US" w:bidi="hi-IN"/>
        </w:rPr>
        <w:t>as a part of</w:t>
      </w:r>
      <w:r w:rsidRPr="001109EA">
        <w:rPr>
          <w:rFonts w:ascii="Palatino Linotype" w:eastAsia="Calibri" w:hAnsi="Palatino Linotype"/>
          <w:lang w:val="en-US" w:bidi="hi-IN"/>
        </w:rPr>
        <w:t xml:space="preserve"> </w:t>
      </w:r>
      <w:r>
        <w:rPr>
          <w:rFonts w:ascii="Palatino Linotype" w:eastAsia="Calibri" w:hAnsi="Palatino Linotype"/>
          <w:lang w:val="en-US" w:bidi="hi-IN"/>
        </w:rPr>
        <w:t xml:space="preserve">its </w:t>
      </w:r>
      <w:r>
        <w:t xml:space="preserve">ongoing work to monitor and address behaviour that could lead to poor outcomes for consumers, </w:t>
      </w:r>
      <w:r w:rsidRPr="001109EA">
        <w:rPr>
          <w:rFonts w:ascii="Palatino Linotype" w:eastAsia="Calibri" w:hAnsi="Palatino Linotype"/>
          <w:lang w:val="en-US" w:bidi="hi-IN"/>
        </w:rPr>
        <w:t>F</w:t>
      </w:r>
      <w:r>
        <w:rPr>
          <w:rFonts w:ascii="Palatino Linotype" w:eastAsia="Calibri" w:hAnsi="Palatino Linotype"/>
          <w:lang w:val="en-US" w:bidi="hi-IN"/>
        </w:rPr>
        <w:t>inancial Conduct Authority (F</w:t>
      </w:r>
      <w:r w:rsidRPr="001109EA">
        <w:rPr>
          <w:rFonts w:ascii="Palatino Linotype" w:eastAsia="Calibri" w:hAnsi="Palatino Linotype"/>
          <w:lang w:val="en-US" w:bidi="hi-IN"/>
        </w:rPr>
        <w:t>CA</w:t>
      </w:r>
      <w:r>
        <w:rPr>
          <w:rFonts w:ascii="Palatino Linotype" w:eastAsia="Calibri" w:hAnsi="Palatino Linotype"/>
          <w:lang w:val="en-US" w:bidi="hi-IN"/>
        </w:rPr>
        <w:t>)</w:t>
      </w:r>
      <w:r w:rsidRPr="001109EA">
        <w:rPr>
          <w:rFonts w:ascii="Palatino Linotype" w:eastAsia="Calibri" w:hAnsi="Palatino Linotype"/>
          <w:lang w:val="en-US" w:bidi="hi-IN"/>
        </w:rPr>
        <w:t xml:space="preserve"> has set out plans for a new Consumer </w:t>
      </w:r>
      <w:r w:rsidRPr="001109EA">
        <w:rPr>
          <w:rFonts w:ascii="Palatino Linotype" w:eastAsia="Calibri" w:hAnsi="Palatino Linotype"/>
          <w:lang w:val="en-US" w:bidi="hi-IN"/>
        </w:rPr>
        <w:lastRenderedPageBreak/>
        <w:t>Duty, which will set a higher level of consumer protection in retail financial markets for firms to adhere to.</w:t>
      </w:r>
    </w:p>
    <w:p w:rsidR="00FC6FDB" w:rsidRDefault="00FC6FDB" w:rsidP="00FC6FDB">
      <w:pPr>
        <w:jc w:val="both"/>
        <w:rPr>
          <w:rFonts w:ascii="Palatino Linotype" w:eastAsia="Calibri" w:hAnsi="Palatino Linotype"/>
          <w:lang w:val="en-US" w:bidi="hi-IN"/>
        </w:rPr>
      </w:pPr>
    </w:p>
    <w:p w:rsidR="00FC6FDB" w:rsidRDefault="00FC6FDB" w:rsidP="00FC6FDB">
      <w:pPr>
        <w:jc w:val="both"/>
        <w:rPr>
          <w:rFonts w:ascii="Palatino Linotype" w:eastAsia="Calibri" w:hAnsi="Palatino Linotype"/>
          <w:lang w:val="en-US" w:bidi="hi-IN"/>
        </w:rPr>
      </w:pPr>
      <w:r>
        <w:t xml:space="preserve">The Consumer Duty, which firms will have to follow or face regulatory action, including enforcement investigations if they fail to do so, will have 3 key elements viz. the Consumer Principle, cross-cutting rules and a suite of rules and guidance that set more detailed expectations for firm conduct in relation to 4 specific outcomes – communications, products and services, customer service and price and value. </w:t>
      </w:r>
      <w:r w:rsidRPr="001109EA">
        <w:rPr>
          <w:rFonts w:ascii="Palatino Linotype" w:eastAsia="Calibri" w:hAnsi="Palatino Linotype"/>
          <w:lang w:val="en-US" w:bidi="hi-IN"/>
        </w:rPr>
        <w:t>As part of the FCA's ongoing work to monitor and address behaviour that could lead to poor outcomes for consumers, the FCA is proposing to expand its existing rules and principles to ensure firms provide a higher level of consumer protection consistently which will enable consumers to get good outcomes.</w:t>
      </w:r>
    </w:p>
    <w:p w:rsidR="00FC6FDB" w:rsidRPr="00F76DFB" w:rsidRDefault="00FC6FDB" w:rsidP="00FC6FDB">
      <w:pPr>
        <w:jc w:val="both"/>
        <w:rPr>
          <w:rFonts w:ascii="Palatino Linotype" w:eastAsia="Calibri" w:hAnsi="Palatino Linotype"/>
          <w:lang w:val="en-US" w:bidi="hi-IN"/>
        </w:rPr>
      </w:pPr>
    </w:p>
    <w:p w:rsidR="00FC6FDB" w:rsidRPr="001109EA" w:rsidRDefault="00FC6FDB" w:rsidP="00FC6FDB">
      <w:pPr>
        <w:jc w:val="both"/>
        <w:rPr>
          <w:rFonts w:ascii="Palatino Linotype" w:hAnsi="Palatino Linotype"/>
          <w:b/>
          <w:bCs/>
          <w:lang w:val="en-US" w:bidi="hi-IN"/>
        </w:rPr>
      </w:pPr>
      <w:r w:rsidRPr="0067031B">
        <w:rPr>
          <w:rFonts w:ascii="Palatino Linotype" w:hAnsi="Palatino Linotype"/>
          <w:b/>
          <w:bCs/>
          <w:lang w:val="en-US" w:bidi="hi-IN"/>
        </w:rPr>
        <w:t>Source:</w:t>
      </w:r>
      <w:r w:rsidRPr="00F76DFB">
        <w:t xml:space="preserve"> </w:t>
      </w:r>
      <w:hyperlink r:id="rId49" w:history="1">
        <w:r w:rsidRPr="001109EA">
          <w:rPr>
            <w:rStyle w:val="Hyperlink"/>
            <w:rFonts w:ascii="Palatino Linotype" w:hAnsi="Palatino Linotype"/>
            <w:b/>
            <w:bCs/>
            <w:color w:val="auto"/>
            <w:u w:val="none"/>
            <w:lang w:val="en-US" w:bidi="hi-IN"/>
          </w:rPr>
          <w:t>https://www.fca.org.uk/news/press-releases/fca-proposes-stronger-protection-consumers-financial-markets</w:t>
        </w:r>
      </w:hyperlink>
    </w:p>
    <w:p w:rsidR="00FC6FDB" w:rsidRDefault="00FC6FDB" w:rsidP="00FC6FDB">
      <w:pPr>
        <w:jc w:val="both"/>
        <w:rPr>
          <w:rFonts w:ascii="Palatino Linotype" w:hAnsi="Palatino Linotype"/>
          <w:b/>
          <w:bCs/>
          <w:lang w:val="en-US" w:bidi="hi-IN"/>
        </w:rPr>
      </w:pPr>
    </w:p>
    <w:p w:rsidR="00FC6FDB" w:rsidRPr="004752BB" w:rsidRDefault="00FC6FDB" w:rsidP="00FC6FDB">
      <w:pPr>
        <w:jc w:val="center"/>
        <w:rPr>
          <w:rFonts w:ascii="Palatino Linotype" w:hAnsi="Palatino Linotype" w:cs="Calibri"/>
          <w:b/>
          <w:sz w:val="28"/>
          <w:szCs w:val="28"/>
        </w:rPr>
      </w:pPr>
      <w:r w:rsidRPr="004752BB">
        <w:rPr>
          <w:rFonts w:ascii="Palatino Linotype" w:hAnsi="Palatino Linotype" w:cs="Calibri"/>
          <w:b/>
          <w:sz w:val="28"/>
          <w:szCs w:val="28"/>
        </w:rPr>
        <w:t>POLICY DEVELOPMENTS AT SEBI</w:t>
      </w:r>
    </w:p>
    <w:p w:rsidR="00FC6FDB" w:rsidRDefault="00FC6FDB" w:rsidP="00FC6FDB">
      <w:pPr>
        <w:shd w:val="clear" w:color="auto" w:fill="FFFFFF"/>
        <w:spacing w:line="276" w:lineRule="auto"/>
        <w:jc w:val="both"/>
        <w:rPr>
          <w:rFonts w:ascii="Palatino Linotype" w:hAnsi="Palatino Linotype"/>
          <w:color w:val="000000"/>
        </w:rPr>
      </w:pPr>
    </w:p>
    <w:p w:rsidR="00FC6FDB" w:rsidRDefault="00FC6FDB" w:rsidP="00FC6FDB">
      <w:pPr>
        <w:contextualSpacing/>
        <w:jc w:val="both"/>
        <w:rPr>
          <w:rFonts w:ascii="Palatino Linotype" w:eastAsia="Calibri" w:hAnsi="Palatino Linotype"/>
          <w:b/>
          <w:bCs/>
        </w:rPr>
      </w:pPr>
      <w:r>
        <w:rPr>
          <w:rFonts w:ascii="Palatino Linotype" w:eastAsia="Calibri" w:hAnsi="Palatino Linotype"/>
          <w:b/>
          <w:bCs/>
        </w:rPr>
        <w:t xml:space="preserve">1. </w:t>
      </w:r>
      <w:r w:rsidRPr="00EB5122">
        <w:rPr>
          <w:rFonts w:ascii="Palatino Linotype" w:eastAsia="Calibri" w:hAnsi="Palatino Linotype"/>
          <w:b/>
          <w:bCs/>
        </w:rPr>
        <w:t xml:space="preserve">Relaxation in </w:t>
      </w:r>
      <w:r>
        <w:rPr>
          <w:rFonts w:ascii="Palatino Linotype" w:eastAsia="Calibri" w:hAnsi="Palatino Linotype"/>
          <w:b/>
          <w:bCs/>
        </w:rPr>
        <w:t>T</w:t>
      </w:r>
      <w:r w:rsidRPr="00EB5122">
        <w:rPr>
          <w:rFonts w:ascii="Palatino Linotype" w:eastAsia="Calibri" w:hAnsi="Palatino Linotype"/>
          <w:b/>
          <w:bCs/>
        </w:rPr>
        <w:t xml:space="preserve">imelines for </w:t>
      </w:r>
      <w:r>
        <w:rPr>
          <w:rFonts w:ascii="Palatino Linotype" w:eastAsia="Calibri" w:hAnsi="Palatino Linotype"/>
          <w:b/>
          <w:bCs/>
        </w:rPr>
        <w:t>C</w:t>
      </w:r>
      <w:r w:rsidRPr="00EB5122">
        <w:rPr>
          <w:rFonts w:ascii="Palatino Linotype" w:eastAsia="Calibri" w:hAnsi="Palatino Linotype"/>
          <w:b/>
          <w:bCs/>
        </w:rPr>
        <w:t xml:space="preserve">ompliance with </w:t>
      </w:r>
      <w:r>
        <w:rPr>
          <w:rFonts w:ascii="Palatino Linotype" w:eastAsia="Calibri" w:hAnsi="Palatino Linotype"/>
          <w:b/>
          <w:bCs/>
        </w:rPr>
        <w:t>R</w:t>
      </w:r>
      <w:r w:rsidRPr="00EB5122">
        <w:rPr>
          <w:rFonts w:ascii="Palatino Linotype" w:eastAsia="Calibri" w:hAnsi="Palatino Linotype"/>
          <w:b/>
          <w:bCs/>
        </w:rPr>
        <w:t xml:space="preserve">egulatory </w:t>
      </w:r>
      <w:r>
        <w:rPr>
          <w:rFonts w:ascii="Palatino Linotype" w:eastAsia="Calibri" w:hAnsi="Palatino Linotype"/>
          <w:b/>
          <w:bCs/>
        </w:rPr>
        <w:t>R</w:t>
      </w:r>
      <w:r w:rsidRPr="00EB5122">
        <w:rPr>
          <w:rFonts w:ascii="Palatino Linotype" w:eastAsia="Calibri" w:hAnsi="Palatino Linotype"/>
          <w:b/>
          <w:bCs/>
        </w:rPr>
        <w:t xml:space="preserve">equirements by Debenture Trustees </w:t>
      </w:r>
    </w:p>
    <w:p w:rsidR="00FC6FDB" w:rsidRDefault="00FC6FDB" w:rsidP="00FC6FDB">
      <w:pPr>
        <w:jc w:val="both"/>
        <w:rPr>
          <w:rFonts w:ascii="Palatino Linotype" w:eastAsia="Calibri" w:hAnsi="Palatino Linotype"/>
          <w:b/>
        </w:rPr>
      </w:pPr>
    </w:p>
    <w:p w:rsidR="00FC6FDB" w:rsidRDefault="00FC6FDB" w:rsidP="00FC6FDB">
      <w:pPr>
        <w:jc w:val="both"/>
        <w:rPr>
          <w:rFonts w:ascii="Palatino Linotype" w:eastAsia="Calibri" w:hAnsi="Palatino Linotype"/>
          <w:bCs/>
        </w:rPr>
      </w:pPr>
      <w:r>
        <w:rPr>
          <w:rFonts w:ascii="Palatino Linotype" w:eastAsia="Calibri" w:hAnsi="Palatino Linotype"/>
          <w:bCs/>
        </w:rPr>
        <w:t>T</w:t>
      </w:r>
      <w:r w:rsidRPr="00EB5122">
        <w:rPr>
          <w:rFonts w:ascii="Palatino Linotype" w:eastAsia="Calibri" w:hAnsi="Palatino Linotype"/>
          <w:bCs/>
        </w:rPr>
        <w:t xml:space="preserve">imelines  </w:t>
      </w:r>
      <w:r>
        <w:rPr>
          <w:rFonts w:ascii="Palatino Linotype" w:eastAsia="Calibri" w:hAnsi="Palatino Linotype"/>
          <w:bCs/>
        </w:rPr>
        <w:t xml:space="preserve">were extended for Debenture Trustees for  </w:t>
      </w:r>
      <w:r w:rsidRPr="00EB5122">
        <w:rPr>
          <w:rFonts w:ascii="Palatino Linotype" w:eastAsia="Calibri" w:hAnsi="Palatino Linotype"/>
          <w:bCs/>
        </w:rPr>
        <w:t>regulatory requirements</w:t>
      </w:r>
      <w:r>
        <w:rPr>
          <w:rFonts w:ascii="Palatino Linotype" w:eastAsia="Calibri" w:hAnsi="Palatino Linotype"/>
          <w:bCs/>
        </w:rPr>
        <w:t xml:space="preserve"> prescribed in</w:t>
      </w:r>
      <w:r w:rsidRPr="00EB5122">
        <w:rPr>
          <w:rFonts w:ascii="Palatino Linotype" w:eastAsia="Calibri" w:hAnsi="Palatino Linotype"/>
          <w:bCs/>
        </w:rPr>
        <w:t xml:space="preserve"> SEBI circular dated November 12,2020 for the quarter/half year/ year ending March 31, 2021</w:t>
      </w:r>
      <w:r>
        <w:rPr>
          <w:rFonts w:ascii="Palatino Linotype" w:eastAsia="Calibri" w:hAnsi="Palatino Linotype"/>
          <w:bCs/>
        </w:rPr>
        <w:t xml:space="preserve"> </w:t>
      </w:r>
      <w:r w:rsidRPr="00D97EDA">
        <w:rPr>
          <w:rFonts w:ascii="Palatino Linotype" w:eastAsia="Calibri" w:hAnsi="Palatino Linotype"/>
        </w:rPr>
        <w:t>due to the COVID-19 pandemic</w:t>
      </w:r>
      <w:r>
        <w:rPr>
          <w:rFonts w:ascii="Palatino Linotype" w:eastAsia="Calibri" w:hAnsi="Palatino Linotype"/>
          <w:bCs/>
        </w:rPr>
        <w:t xml:space="preserve">. </w:t>
      </w:r>
    </w:p>
    <w:p w:rsidR="00FC6FDB" w:rsidRDefault="00FC6FDB" w:rsidP="00FC6FDB">
      <w:pPr>
        <w:jc w:val="both"/>
        <w:rPr>
          <w:rFonts w:ascii="Palatino Linotype" w:eastAsia="Calibri" w:hAnsi="Palatino Linotype"/>
          <w:bCs/>
          <w:i/>
          <w:iCs/>
        </w:rPr>
      </w:pPr>
    </w:p>
    <w:p w:rsidR="00FC6FDB" w:rsidRDefault="00FC6FDB" w:rsidP="00FC6FDB">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EB5122">
        <w:rPr>
          <w:rFonts w:ascii="Palatino Linotype" w:eastAsia="Calibri" w:hAnsi="Palatino Linotype"/>
          <w:bCs/>
          <w:i/>
          <w:iCs/>
        </w:rPr>
        <w:t>SEBI/HO/MIRSD/CRADT/CIR/P/2021/56</w:t>
      </w:r>
      <w:r w:rsidRPr="000C75B5">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May 03</w:t>
      </w:r>
      <w:r w:rsidRPr="001D431F">
        <w:rPr>
          <w:rFonts w:ascii="Palatino Linotype" w:eastAsia="Calibri" w:hAnsi="Palatino Linotype"/>
          <w:bCs/>
          <w:i/>
          <w:iCs/>
        </w:rPr>
        <w:t>, 2021</w:t>
      </w:r>
    </w:p>
    <w:p w:rsidR="00FC6FDB" w:rsidRPr="00E17F14" w:rsidRDefault="00FC6FDB" w:rsidP="00FC6FDB">
      <w:pPr>
        <w:jc w:val="both"/>
        <w:rPr>
          <w:rFonts w:ascii="Palatino Linotype" w:eastAsia="Calibri" w:hAnsi="Palatino Linotype"/>
          <w:bCs/>
          <w:i/>
          <w:iCs/>
          <w:lang w:val="en-US"/>
        </w:rPr>
      </w:pPr>
    </w:p>
    <w:p w:rsidR="00FC6FDB" w:rsidRDefault="00FC6FDB" w:rsidP="00FC6FDB">
      <w:pPr>
        <w:contextualSpacing/>
        <w:jc w:val="both"/>
        <w:rPr>
          <w:rFonts w:ascii="Palatino Linotype" w:eastAsia="Calibri" w:hAnsi="Palatino Linotype"/>
          <w:b/>
          <w:bCs/>
        </w:rPr>
      </w:pPr>
      <w:r>
        <w:rPr>
          <w:rFonts w:ascii="Palatino Linotype" w:eastAsia="Calibri" w:hAnsi="Palatino Linotype"/>
          <w:b/>
          <w:bCs/>
        </w:rPr>
        <w:t xml:space="preserve">2. </w:t>
      </w:r>
      <w:r w:rsidRPr="002D62FA">
        <w:rPr>
          <w:rFonts w:ascii="Palatino Linotype" w:eastAsia="Calibri" w:hAnsi="Palatino Linotype"/>
          <w:b/>
          <w:bCs/>
        </w:rPr>
        <w:t xml:space="preserve">Business </w:t>
      </w:r>
      <w:r>
        <w:rPr>
          <w:rFonts w:ascii="Palatino Linotype" w:eastAsia="Calibri" w:hAnsi="Palatino Linotype"/>
          <w:b/>
          <w:bCs/>
        </w:rPr>
        <w:t>R</w:t>
      </w:r>
      <w:r w:rsidRPr="002D62FA">
        <w:rPr>
          <w:rFonts w:ascii="Palatino Linotype" w:eastAsia="Calibri" w:hAnsi="Palatino Linotype"/>
          <w:b/>
          <w:bCs/>
        </w:rPr>
        <w:t xml:space="preserve">esponsibility and </w:t>
      </w:r>
      <w:r>
        <w:rPr>
          <w:rFonts w:ascii="Palatino Linotype" w:eastAsia="Calibri" w:hAnsi="Palatino Linotype"/>
          <w:b/>
          <w:bCs/>
        </w:rPr>
        <w:t>S</w:t>
      </w:r>
      <w:r w:rsidRPr="002D62FA">
        <w:rPr>
          <w:rFonts w:ascii="Palatino Linotype" w:eastAsia="Calibri" w:hAnsi="Palatino Linotype"/>
          <w:b/>
          <w:bCs/>
        </w:rPr>
        <w:t xml:space="preserve">ustainability </w:t>
      </w:r>
      <w:r>
        <w:rPr>
          <w:rFonts w:ascii="Palatino Linotype" w:eastAsia="Calibri" w:hAnsi="Palatino Linotype"/>
          <w:b/>
          <w:bCs/>
        </w:rPr>
        <w:t>R</w:t>
      </w:r>
      <w:r w:rsidRPr="002D62FA">
        <w:rPr>
          <w:rFonts w:ascii="Palatino Linotype" w:eastAsia="Calibri" w:hAnsi="Palatino Linotype"/>
          <w:b/>
          <w:bCs/>
        </w:rPr>
        <w:t xml:space="preserve">eporting by </w:t>
      </w:r>
      <w:r>
        <w:rPr>
          <w:rFonts w:ascii="Palatino Linotype" w:eastAsia="Calibri" w:hAnsi="Palatino Linotype"/>
          <w:b/>
          <w:bCs/>
        </w:rPr>
        <w:t>L</w:t>
      </w:r>
      <w:r w:rsidRPr="002D62FA">
        <w:rPr>
          <w:rFonts w:ascii="Palatino Linotype" w:eastAsia="Calibri" w:hAnsi="Palatino Linotype"/>
          <w:b/>
          <w:bCs/>
        </w:rPr>
        <w:t xml:space="preserve">isted </w:t>
      </w:r>
      <w:r>
        <w:rPr>
          <w:rFonts w:ascii="Palatino Linotype" w:eastAsia="Calibri" w:hAnsi="Palatino Linotype"/>
          <w:b/>
          <w:bCs/>
        </w:rPr>
        <w:t>E</w:t>
      </w:r>
      <w:r w:rsidRPr="002D62FA">
        <w:rPr>
          <w:rFonts w:ascii="Palatino Linotype" w:eastAsia="Calibri" w:hAnsi="Palatino Linotype"/>
          <w:b/>
          <w:bCs/>
        </w:rPr>
        <w:t>ntities</w:t>
      </w:r>
    </w:p>
    <w:p w:rsidR="00FC6FDB" w:rsidRDefault="00FC6FDB" w:rsidP="00FC6FDB">
      <w:pPr>
        <w:jc w:val="both"/>
        <w:rPr>
          <w:rFonts w:ascii="Palatino Linotype" w:eastAsia="Calibri" w:hAnsi="Palatino Linotype"/>
          <w:b/>
        </w:rPr>
      </w:pPr>
    </w:p>
    <w:p w:rsidR="00FC6FDB" w:rsidRDefault="00FC6FDB" w:rsidP="00FC6FDB">
      <w:pPr>
        <w:pStyle w:val="Default"/>
      </w:pPr>
    </w:p>
    <w:p w:rsidR="00FC6FDB" w:rsidRPr="00F02DA8" w:rsidRDefault="00FC6FDB" w:rsidP="00FC6FDB">
      <w:pPr>
        <w:pStyle w:val="Default"/>
        <w:rPr>
          <w:rFonts w:eastAsiaTheme="minorHAnsi"/>
          <w:lang w:val="en-IN" w:bidi="hi-IN"/>
        </w:rPr>
      </w:pPr>
      <w:r>
        <w:t xml:space="preserve"> </w:t>
      </w:r>
      <w:r>
        <w:rPr>
          <w:sz w:val="23"/>
          <w:szCs w:val="23"/>
        </w:rPr>
        <w:t xml:space="preserve">In terms of amendment to regulation 34 (2) (f) of LODR Regulations vide Gazette notification no. SEBI/LAD-NRO/GN/2021/22 dated May 05, 2021, </w:t>
      </w:r>
      <w:r w:rsidRPr="00FD7837">
        <w:rPr>
          <w:sz w:val="23"/>
          <w:szCs w:val="23"/>
          <w:lang w:val="en-IN" w:bidi="hi-IN"/>
        </w:rPr>
        <w:t>new reporting requirements</w:t>
      </w:r>
      <w:r>
        <w:rPr>
          <w:sz w:val="23"/>
          <w:szCs w:val="23"/>
          <w:lang w:val="en-IN" w:bidi="hi-IN"/>
        </w:rPr>
        <w:t xml:space="preserve"> were introduced</w:t>
      </w:r>
      <w:r w:rsidRPr="00FD7837">
        <w:rPr>
          <w:sz w:val="23"/>
          <w:szCs w:val="23"/>
          <w:lang w:val="en-IN" w:bidi="hi-IN"/>
        </w:rPr>
        <w:t xml:space="preserve"> on ESG parameters called the Business Responsibility and Sustainability Report (BRSR)</w:t>
      </w:r>
      <w:r>
        <w:rPr>
          <w:sz w:val="23"/>
          <w:szCs w:val="23"/>
          <w:lang w:val="en-IN" w:bidi="hi-IN"/>
        </w:rPr>
        <w:t xml:space="preserve">. </w:t>
      </w:r>
    </w:p>
    <w:p w:rsidR="00FC6FDB" w:rsidRPr="00F02DA8" w:rsidRDefault="00FC6FDB" w:rsidP="00FC6FDB">
      <w:pPr>
        <w:autoSpaceDE w:val="0"/>
        <w:autoSpaceDN w:val="0"/>
        <w:adjustRightInd w:val="0"/>
        <w:rPr>
          <w:rFonts w:ascii="Arial" w:hAnsi="Arial" w:cs="Arial"/>
          <w:color w:val="000000"/>
          <w:lang w:val="en-IN" w:bidi="hi-IN"/>
        </w:rPr>
      </w:pPr>
      <w:r w:rsidRPr="00F02DA8">
        <w:rPr>
          <w:rFonts w:ascii="Arial" w:hAnsi="Arial" w:cs="Arial"/>
          <w:color w:val="000000"/>
          <w:lang w:val="en-IN" w:bidi="hi-IN"/>
        </w:rPr>
        <w:t xml:space="preserve"> </w:t>
      </w:r>
    </w:p>
    <w:p w:rsidR="00FC6FDB" w:rsidRPr="00D97EDA" w:rsidRDefault="00FC6FDB" w:rsidP="00FC6FDB">
      <w:pPr>
        <w:pStyle w:val="Default"/>
        <w:jc w:val="both"/>
        <w:rPr>
          <w:lang w:val="en-IN" w:bidi="hi-IN"/>
        </w:rPr>
      </w:pPr>
      <w:r w:rsidRPr="00F02DA8">
        <w:rPr>
          <w:sz w:val="23"/>
          <w:szCs w:val="23"/>
          <w:lang w:val="en-IN" w:bidi="hi-IN"/>
        </w:rPr>
        <w:t xml:space="preserve">The BRSR is accompanied with a guidance note to enable the companies to interpret the scope of disclosures. The BRSR seeks disclosures from listed entities on their performance against the nine principles of the ‘National Guidelines </w:t>
      </w:r>
      <w:r>
        <w:rPr>
          <w:sz w:val="23"/>
          <w:szCs w:val="23"/>
          <w:lang w:val="en-IN" w:bidi="hi-IN"/>
        </w:rPr>
        <w:t>on Responsible Business Conduct</w:t>
      </w:r>
      <w:r w:rsidRPr="00F02DA8">
        <w:rPr>
          <w:sz w:val="23"/>
          <w:szCs w:val="23"/>
          <w:lang w:val="en-IN" w:bidi="hi-IN"/>
        </w:rPr>
        <w:t xml:space="preserve"> and reporting under each principle is divided into essential and leadership indicators. </w:t>
      </w:r>
      <w:r>
        <w:rPr>
          <w:sz w:val="23"/>
          <w:szCs w:val="23"/>
          <w:lang w:val="en-IN" w:bidi="hi-IN"/>
        </w:rPr>
        <w:t>It is</w:t>
      </w:r>
      <w:r w:rsidRPr="00F02DA8">
        <w:rPr>
          <w:sz w:val="23"/>
          <w:szCs w:val="23"/>
          <w:lang w:val="en-IN" w:bidi="hi-IN"/>
        </w:rPr>
        <w:t xml:space="preserve"> intended towards having quantitative and standardized disclosures on ESG parameters to enable comparability across companies, sectors and time. </w:t>
      </w:r>
    </w:p>
    <w:p w:rsidR="00FC6FDB" w:rsidRPr="00D97EDA" w:rsidRDefault="00FC6FDB" w:rsidP="00FC6FDB">
      <w:pPr>
        <w:pStyle w:val="Default"/>
        <w:rPr>
          <w:lang w:val="en-IN" w:bidi="hi-IN"/>
        </w:rPr>
      </w:pPr>
    </w:p>
    <w:p w:rsidR="00FC6FDB" w:rsidRPr="00D97EDA" w:rsidRDefault="00FC6FDB" w:rsidP="00FC6FDB">
      <w:pPr>
        <w:pStyle w:val="Default"/>
        <w:rPr>
          <w:lang w:val="en-IN" w:bidi="hi-IN"/>
        </w:rPr>
      </w:pPr>
      <w:r w:rsidRPr="00F02DA8">
        <w:rPr>
          <w:sz w:val="23"/>
          <w:szCs w:val="23"/>
          <w:lang w:val="en-IN" w:bidi="hi-IN"/>
        </w:rPr>
        <w:t xml:space="preserve"> </w:t>
      </w:r>
      <w:r>
        <w:rPr>
          <w:sz w:val="23"/>
          <w:szCs w:val="23"/>
          <w:lang w:val="en-IN" w:bidi="hi-IN"/>
        </w:rPr>
        <w:t>W</w:t>
      </w:r>
      <w:r w:rsidRPr="00F02DA8">
        <w:rPr>
          <w:sz w:val="23"/>
          <w:szCs w:val="23"/>
          <w:lang w:val="en-IN" w:bidi="hi-IN"/>
        </w:rPr>
        <w:t xml:space="preserve">ith effect from the financial year 2022-2023, filing of BRSR shall be mandatory for the top 1000 listed companies (by market capitalization) and shall replace the existing BRR. Filing of BRSR is voluntary for the financial year 2021-22. </w:t>
      </w:r>
    </w:p>
    <w:p w:rsidR="00FC6FDB" w:rsidRPr="00F02DA8" w:rsidRDefault="00FC6FDB" w:rsidP="00FC6FDB">
      <w:pPr>
        <w:autoSpaceDE w:val="0"/>
        <w:autoSpaceDN w:val="0"/>
        <w:adjustRightInd w:val="0"/>
        <w:rPr>
          <w:rFonts w:ascii="Arial" w:hAnsi="Arial" w:cs="Arial"/>
          <w:color w:val="000000"/>
          <w:sz w:val="23"/>
          <w:szCs w:val="23"/>
          <w:lang w:val="en-IN" w:bidi="hi-IN"/>
        </w:rPr>
      </w:pPr>
    </w:p>
    <w:p w:rsidR="00FC6FDB" w:rsidRPr="00D97EDA" w:rsidRDefault="00FC6FDB" w:rsidP="00FC6FDB">
      <w:pPr>
        <w:pStyle w:val="Default"/>
        <w:jc w:val="both"/>
        <w:rPr>
          <w:lang w:val="en-IN" w:bidi="hi-IN"/>
        </w:rPr>
      </w:pPr>
      <w:r w:rsidRPr="00FD7837">
        <w:rPr>
          <w:sz w:val="23"/>
          <w:szCs w:val="23"/>
          <w:lang w:val="en-IN" w:bidi="hi-IN"/>
        </w:rPr>
        <w:t xml:space="preserve"> </w:t>
      </w:r>
    </w:p>
    <w:p w:rsidR="00FC6FDB" w:rsidRPr="00D97EDA" w:rsidRDefault="00FC6FDB" w:rsidP="00FC6FDB">
      <w:pPr>
        <w:pStyle w:val="Default"/>
      </w:pPr>
    </w:p>
    <w:p w:rsidR="00FC6FDB" w:rsidRPr="00CB4C1E" w:rsidRDefault="00FC6FDB" w:rsidP="00FC6FDB">
      <w:pPr>
        <w:jc w:val="both"/>
        <w:rPr>
          <w:rFonts w:ascii="Palatino Linotype" w:eastAsia="Calibri" w:hAnsi="Palatino Linotype"/>
          <w:bCs/>
        </w:rPr>
      </w:pPr>
    </w:p>
    <w:p w:rsidR="00FC6FDB" w:rsidRDefault="00FC6FDB" w:rsidP="00FC6FDB">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2D62FA">
        <w:rPr>
          <w:rFonts w:ascii="Palatino Linotype" w:eastAsia="Calibri" w:hAnsi="Palatino Linotype"/>
          <w:bCs/>
          <w:i/>
          <w:iCs/>
        </w:rPr>
        <w:t>SEBI/HO/CFD/CMD-2/P/CIR/2021/562</w:t>
      </w:r>
      <w:r>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May 10</w:t>
      </w:r>
      <w:r w:rsidRPr="001D431F">
        <w:rPr>
          <w:rFonts w:ascii="Palatino Linotype" w:eastAsia="Calibri" w:hAnsi="Palatino Linotype"/>
          <w:bCs/>
          <w:i/>
          <w:iCs/>
        </w:rPr>
        <w:t>, 2021</w:t>
      </w:r>
    </w:p>
    <w:p w:rsidR="00FC6FDB" w:rsidRDefault="00FC6FDB" w:rsidP="00FC6FDB">
      <w:pPr>
        <w:jc w:val="both"/>
        <w:rPr>
          <w:rFonts w:ascii="Palatino Linotype" w:eastAsia="Calibri" w:hAnsi="Palatino Linotype"/>
          <w:bCs/>
          <w:i/>
          <w:iCs/>
        </w:rPr>
      </w:pPr>
    </w:p>
    <w:p w:rsidR="00FC6FDB" w:rsidRDefault="00FC6FDB" w:rsidP="00FC6FDB">
      <w:pPr>
        <w:contextualSpacing/>
        <w:jc w:val="both"/>
        <w:rPr>
          <w:rFonts w:ascii="Palatino Linotype" w:eastAsia="Calibri" w:hAnsi="Palatino Linotype"/>
          <w:b/>
          <w:bCs/>
        </w:rPr>
      </w:pPr>
      <w:r>
        <w:rPr>
          <w:rFonts w:ascii="Palatino Linotype" w:eastAsia="Calibri" w:hAnsi="Palatino Linotype"/>
          <w:b/>
          <w:bCs/>
        </w:rPr>
        <w:t xml:space="preserve">3. </w:t>
      </w:r>
      <w:r w:rsidRPr="002D62FA">
        <w:rPr>
          <w:rFonts w:ascii="Palatino Linotype" w:eastAsia="Calibri" w:hAnsi="Palatino Linotype"/>
          <w:b/>
          <w:bCs/>
        </w:rPr>
        <w:t xml:space="preserve">Procedure for </w:t>
      </w:r>
      <w:r>
        <w:rPr>
          <w:rFonts w:ascii="Palatino Linotype" w:eastAsia="Calibri" w:hAnsi="Palatino Linotype"/>
          <w:b/>
          <w:bCs/>
        </w:rPr>
        <w:t>S</w:t>
      </w:r>
      <w:r w:rsidRPr="002D62FA">
        <w:rPr>
          <w:rFonts w:ascii="Palatino Linotype" w:eastAsia="Calibri" w:hAnsi="Palatino Linotype"/>
          <w:b/>
          <w:bCs/>
        </w:rPr>
        <w:t xml:space="preserve">eeking </w:t>
      </w:r>
      <w:r>
        <w:rPr>
          <w:rFonts w:ascii="Palatino Linotype" w:eastAsia="Calibri" w:hAnsi="Palatino Linotype"/>
          <w:b/>
          <w:bCs/>
        </w:rPr>
        <w:t>P</w:t>
      </w:r>
      <w:r w:rsidRPr="002D62FA">
        <w:rPr>
          <w:rFonts w:ascii="Palatino Linotype" w:eastAsia="Calibri" w:hAnsi="Palatino Linotype"/>
          <w:b/>
          <w:bCs/>
        </w:rPr>
        <w:t xml:space="preserve">rior </w:t>
      </w:r>
      <w:r>
        <w:rPr>
          <w:rFonts w:ascii="Palatino Linotype" w:eastAsia="Calibri" w:hAnsi="Palatino Linotype"/>
          <w:b/>
          <w:bCs/>
        </w:rPr>
        <w:t>A</w:t>
      </w:r>
      <w:r w:rsidRPr="002D62FA">
        <w:rPr>
          <w:rFonts w:ascii="Palatino Linotype" w:eastAsia="Calibri" w:hAnsi="Palatino Linotype"/>
          <w:b/>
          <w:bCs/>
        </w:rPr>
        <w:t xml:space="preserve">pproval for </w:t>
      </w:r>
      <w:r>
        <w:rPr>
          <w:rFonts w:ascii="Palatino Linotype" w:eastAsia="Calibri" w:hAnsi="Palatino Linotype"/>
          <w:b/>
          <w:bCs/>
        </w:rPr>
        <w:t>C</w:t>
      </w:r>
      <w:r w:rsidRPr="002D62FA">
        <w:rPr>
          <w:rFonts w:ascii="Palatino Linotype" w:eastAsia="Calibri" w:hAnsi="Palatino Linotype"/>
          <w:b/>
          <w:bCs/>
        </w:rPr>
        <w:t xml:space="preserve">hange in </w:t>
      </w:r>
      <w:r>
        <w:rPr>
          <w:rFonts w:ascii="Palatino Linotype" w:eastAsia="Calibri" w:hAnsi="Palatino Linotype"/>
          <w:b/>
          <w:bCs/>
        </w:rPr>
        <w:t>C</w:t>
      </w:r>
      <w:r w:rsidRPr="002D62FA">
        <w:rPr>
          <w:rFonts w:ascii="Palatino Linotype" w:eastAsia="Calibri" w:hAnsi="Palatino Linotype"/>
          <w:b/>
          <w:bCs/>
        </w:rPr>
        <w:t xml:space="preserve">ontrol of SEBI </w:t>
      </w:r>
      <w:r>
        <w:rPr>
          <w:rFonts w:ascii="Palatino Linotype" w:eastAsia="Calibri" w:hAnsi="Palatino Linotype"/>
          <w:b/>
          <w:bCs/>
        </w:rPr>
        <w:t>R</w:t>
      </w:r>
      <w:r w:rsidRPr="002D62FA">
        <w:rPr>
          <w:rFonts w:ascii="Palatino Linotype" w:eastAsia="Calibri" w:hAnsi="Palatino Linotype"/>
          <w:b/>
          <w:bCs/>
        </w:rPr>
        <w:t>egistered Portfolio Managers</w:t>
      </w:r>
    </w:p>
    <w:p w:rsidR="00FC6FDB" w:rsidRDefault="00FC6FDB" w:rsidP="00FC6FDB">
      <w:pPr>
        <w:jc w:val="both"/>
        <w:rPr>
          <w:rFonts w:ascii="Palatino Linotype" w:eastAsia="Calibri" w:hAnsi="Palatino Linotype"/>
          <w:b/>
        </w:rPr>
      </w:pPr>
    </w:p>
    <w:p w:rsidR="00FC6FDB" w:rsidRPr="00CB4C1E" w:rsidRDefault="00FC6FDB" w:rsidP="00FC6FDB">
      <w:pPr>
        <w:jc w:val="both"/>
        <w:rPr>
          <w:rFonts w:ascii="Palatino Linotype" w:eastAsia="Calibri" w:hAnsi="Palatino Linotype"/>
          <w:bCs/>
        </w:rPr>
      </w:pPr>
      <w:r>
        <w:rPr>
          <w:rFonts w:ascii="Palatino Linotype" w:eastAsia="Calibri" w:hAnsi="Palatino Linotype"/>
          <w:bCs/>
        </w:rPr>
        <w:t>P</w:t>
      </w:r>
      <w:r w:rsidRPr="00CB4C1E">
        <w:rPr>
          <w:rFonts w:ascii="Palatino Linotype" w:eastAsia="Calibri" w:hAnsi="Palatino Linotype"/>
          <w:bCs/>
        </w:rPr>
        <w:t>rocedure</w:t>
      </w:r>
      <w:r>
        <w:rPr>
          <w:rFonts w:ascii="Palatino Linotype" w:eastAsia="Calibri" w:hAnsi="Palatino Linotype"/>
          <w:bCs/>
        </w:rPr>
        <w:t xml:space="preserve"> </w:t>
      </w:r>
      <w:r w:rsidRPr="00CB4C1E">
        <w:rPr>
          <w:rFonts w:ascii="Palatino Linotype" w:eastAsia="Calibri" w:hAnsi="Palatino Linotype"/>
          <w:bCs/>
        </w:rPr>
        <w:t xml:space="preserve">for seeking </w:t>
      </w:r>
      <w:r>
        <w:rPr>
          <w:rFonts w:ascii="Palatino Linotype" w:eastAsia="Calibri" w:hAnsi="Palatino Linotype"/>
          <w:bCs/>
        </w:rPr>
        <w:t>SEBI’s</w:t>
      </w:r>
      <w:r w:rsidRPr="00CB4C1E">
        <w:rPr>
          <w:rFonts w:ascii="Palatino Linotype" w:eastAsia="Calibri" w:hAnsi="Palatino Linotype"/>
          <w:bCs/>
        </w:rPr>
        <w:t xml:space="preserve"> prior approval in case of change in control of portfolio managers</w:t>
      </w:r>
      <w:r>
        <w:rPr>
          <w:rFonts w:ascii="Palatino Linotype" w:eastAsia="Calibri" w:hAnsi="Palatino Linotype"/>
          <w:bCs/>
        </w:rPr>
        <w:t xml:space="preserve"> is prescribed</w:t>
      </w:r>
      <w:r w:rsidRPr="00CB4C1E">
        <w:rPr>
          <w:rFonts w:ascii="Palatino Linotype" w:eastAsia="Calibri" w:hAnsi="Palatino Linotype"/>
          <w:bCs/>
        </w:rPr>
        <w:t>. Under this</w:t>
      </w:r>
      <w:r>
        <w:rPr>
          <w:rFonts w:ascii="Palatino Linotype" w:eastAsia="Calibri" w:hAnsi="Palatino Linotype"/>
          <w:bCs/>
        </w:rPr>
        <w:t xml:space="preserve"> procedure</w:t>
      </w:r>
      <w:r w:rsidRPr="00CB4C1E">
        <w:rPr>
          <w:rFonts w:ascii="Palatino Linotype" w:eastAsia="Calibri" w:hAnsi="Palatino Linotype"/>
          <w:bCs/>
        </w:rPr>
        <w:t xml:space="preserve">, online application needs to be made to </w:t>
      </w:r>
      <w:r>
        <w:rPr>
          <w:rFonts w:ascii="Palatino Linotype" w:eastAsia="Calibri" w:hAnsi="Palatino Linotype"/>
          <w:bCs/>
        </w:rPr>
        <w:t xml:space="preserve">SEBI </w:t>
      </w:r>
      <w:r w:rsidRPr="00CB4C1E">
        <w:rPr>
          <w:rFonts w:ascii="Palatino Linotype" w:eastAsia="Calibri" w:hAnsi="Palatino Linotype"/>
          <w:bCs/>
        </w:rPr>
        <w:t xml:space="preserve">for prior approval through the </w:t>
      </w:r>
      <w:r>
        <w:rPr>
          <w:rFonts w:ascii="Palatino Linotype" w:eastAsia="Calibri" w:hAnsi="Palatino Linotype"/>
          <w:bCs/>
        </w:rPr>
        <w:t>SEBI’s</w:t>
      </w:r>
      <w:r w:rsidRPr="00CB4C1E">
        <w:rPr>
          <w:rFonts w:ascii="Palatino Linotype" w:eastAsia="Calibri" w:hAnsi="Palatino Linotype"/>
          <w:bCs/>
        </w:rPr>
        <w:t xml:space="preserve"> Intermediary Portal</w:t>
      </w:r>
      <w:r>
        <w:rPr>
          <w:rFonts w:ascii="Palatino Linotype" w:eastAsia="Calibri" w:hAnsi="Palatino Linotype"/>
          <w:bCs/>
        </w:rPr>
        <w:t>.</w:t>
      </w:r>
    </w:p>
    <w:p w:rsidR="00FC6FDB" w:rsidRPr="00CB4C1E" w:rsidRDefault="00FC6FDB" w:rsidP="00FC6FDB">
      <w:pPr>
        <w:jc w:val="both"/>
        <w:rPr>
          <w:rFonts w:ascii="Palatino Linotype" w:eastAsia="Calibri" w:hAnsi="Palatino Linotype"/>
          <w:bCs/>
        </w:rPr>
      </w:pPr>
    </w:p>
    <w:p w:rsidR="00FC6FDB" w:rsidRDefault="00FC6FDB" w:rsidP="00FC6FDB">
      <w:pPr>
        <w:jc w:val="both"/>
        <w:rPr>
          <w:rFonts w:ascii="Palatino Linotype" w:eastAsia="Calibri" w:hAnsi="Palatino Linotype"/>
          <w:bCs/>
        </w:rPr>
      </w:pPr>
      <w:r w:rsidRPr="00CB4C1E">
        <w:rPr>
          <w:rFonts w:ascii="Palatino Linotype" w:eastAsia="Calibri" w:hAnsi="Palatino Linotype"/>
          <w:bCs/>
        </w:rPr>
        <w:t>The prior approval will be valid for a period of six months from the date of such go ahead.</w:t>
      </w:r>
    </w:p>
    <w:p w:rsidR="00FC6FDB" w:rsidRDefault="00FC6FDB" w:rsidP="00FC6FDB">
      <w:pPr>
        <w:jc w:val="both"/>
        <w:rPr>
          <w:rFonts w:ascii="Palatino Linotype" w:eastAsia="Calibri" w:hAnsi="Palatino Linotype"/>
          <w:bCs/>
          <w:i/>
          <w:iCs/>
        </w:rPr>
      </w:pPr>
    </w:p>
    <w:p w:rsidR="00FC6FDB" w:rsidRDefault="00FC6FDB" w:rsidP="00FC6FDB">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2D62FA">
        <w:rPr>
          <w:rFonts w:ascii="Palatino Linotype" w:eastAsia="Calibri" w:hAnsi="Palatino Linotype"/>
          <w:bCs/>
          <w:i/>
          <w:iCs/>
        </w:rPr>
        <w:t>SEBI/HO/IMD/IMD-I/DOF1/P/CIR/2021/564</w:t>
      </w:r>
      <w:r w:rsidRPr="000C75B5">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May 12</w:t>
      </w:r>
      <w:r w:rsidRPr="001D431F">
        <w:rPr>
          <w:rFonts w:ascii="Palatino Linotype" w:eastAsia="Calibri" w:hAnsi="Palatino Linotype"/>
          <w:bCs/>
          <w:i/>
          <w:iCs/>
        </w:rPr>
        <w:t>, 2021</w:t>
      </w:r>
    </w:p>
    <w:p w:rsidR="00FC6FDB" w:rsidRDefault="00FC6FDB" w:rsidP="00FC6FDB">
      <w:pPr>
        <w:jc w:val="both"/>
        <w:rPr>
          <w:rFonts w:ascii="Palatino Linotype" w:eastAsia="Calibri" w:hAnsi="Palatino Linotype"/>
          <w:bCs/>
          <w:i/>
          <w:iCs/>
        </w:rPr>
      </w:pPr>
    </w:p>
    <w:p w:rsidR="00FC6FDB" w:rsidRDefault="00FC6FDB" w:rsidP="00FC6FDB">
      <w:pPr>
        <w:contextualSpacing/>
        <w:jc w:val="both"/>
        <w:rPr>
          <w:rFonts w:ascii="Palatino Linotype" w:eastAsia="Calibri" w:hAnsi="Palatino Linotype"/>
          <w:b/>
          <w:bCs/>
        </w:rPr>
      </w:pPr>
      <w:r>
        <w:rPr>
          <w:rFonts w:ascii="Palatino Linotype" w:eastAsia="Calibri" w:hAnsi="Palatino Linotype"/>
          <w:b/>
          <w:bCs/>
        </w:rPr>
        <w:t>4. Relaxation from C</w:t>
      </w:r>
      <w:r w:rsidRPr="002D62FA">
        <w:rPr>
          <w:rFonts w:ascii="Palatino Linotype" w:eastAsia="Calibri" w:hAnsi="Palatino Linotype"/>
          <w:b/>
          <w:bCs/>
        </w:rPr>
        <w:t>ompliance t</w:t>
      </w:r>
      <w:r>
        <w:rPr>
          <w:rFonts w:ascii="Palatino Linotype" w:eastAsia="Calibri" w:hAnsi="Palatino Linotype"/>
          <w:b/>
          <w:bCs/>
        </w:rPr>
        <w:t xml:space="preserve">o REITs and InvITs </w:t>
      </w:r>
    </w:p>
    <w:p w:rsidR="00FC6FDB" w:rsidRDefault="00FC6FDB" w:rsidP="00FC6FDB">
      <w:pPr>
        <w:jc w:val="both"/>
        <w:rPr>
          <w:rFonts w:ascii="Palatino Linotype" w:eastAsia="Calibri" w:hAnsi="Palatino Linotype"/>
          <w:b/>
        </w:rPr>
      </w:pPr>
    </w:p>
    <w:p w:rsidR="00FC6FDB" w:rsidRDefault="00FC6FDB" w:rsidP="00FC6FDB">
      <w:pPr>
        <w:jc w:val="both"/>
        <w:rPr>
          <w:rFonts w:ascii="Palatino Linotype" w:eastAsia="Calibri" w:hAnsi="Palatino Linotype"/>
          <w:bCs/>
        </w:rPr>
      </w:pPr>
      <w:r>
        <w:rPr>
          <w:rFonts w:ascii="Palatino Linotype" w:eastAsia="Calibri" w:hAnsi="Palatino Linotype"/>
          <w:bCs/>
        </w:rPr>
        <w:t xml:space="preserve">Timelines were </w:t>
      </w:r>
      <w:r w:rsidRPr="00CB4C1E">
        <w:rPr>
          <w:rFonts w:ascii="Palatino Linotype" w:eastAsia="Calibri" w:hAnsi="Palatino Linotype"/>
          <w:bCs/>
        </w:rPr>
        <w:t xml:space="preserve">extended for regulatory filings and compliances for InvITs and REITs for the period ending March 31, 2021 by one month due to </w:t>
      </w:r>
      <w:r>
        <w:rPr>
          <w:rFonts w:ascii="Palatino Linotype" w:eastAsia="Calibri" w:hAnsi="Palatino Linotype"/>
          <w:bCs/>
        </w:rPr>
        <w:t>COVID</w:t>
      </w:r>
      <w:r w:rsidRPr="00CB4C1E">
        <w:rPr>
          <w:rFonts w:ascii="Palatino Linotype" w:eastAsia="Calibri" w:hAnsi="Palatino Linotype"/>
          <w:bCs/>
        </w:rPr>
        <w:t>-19 pandemic.</w:t>
      </w:r>
    </w:p>
    <w:p w:rsidR="00FC6FDB" w:rsidRDefault="00FC6FDB" w:rsidP="00FC6FDB">
      <w:pPr>
        <w:jc w:val="both"/>
        <w:rPr>
          <w:rFonts w:ascii="Palatino Linotype" w:eastAsia="Calibri" w:hAnsi="Palatino Linotype"/>
          <w:bCs/>
          <w:i/>
          <w:iCs/>
        </w:rPr>
      </w:pPr>
    </w:p>
    <w:p w:rsidR="00FC6FDB" w:rsidRDefault="00FC6FDB" w:rsidP="00FC6FDB">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2D62FA">
        <w:rPr>
          <w:rFonts w:ascii="Palatino Linotype" w:eastAsia="Calibri" w:hAnsi="Palatino Linotype"/>
          <w:bCs/>
          <w:i/>
          <w:iCs/>
        </w:rPr>
        <w:t>SEBI/HO/DDHS/DDHS_Div3/P/CIR/2021/563</w:t>
      </w:r>
      <w:r w:rsidRPr="000C75B5">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May 14</w:t>
      </w:r>
      <w:r w:rsidRPr="001D431F">
        <w:rPr>
          <w:rFonts w:ascii="Palatino Linotype" w:eastAsia="Calibri" w:hAnsi="Palatino Linotype"/>
          <w:bCs/>
          <w:i/>
          <w:iCs/>
        </w:rPr>
        <w:t>, 2021</w:t>
      </w:r>
    </w:p>
    <w:p w:rsidR="00FC6FDB" w:rsidRDefault="00FC6FDB" w:rsidP="00FC6FDB">
      <w:pPr>
        <w:contextualSpacing/>
        <w:jc w:val="both"/>
        <w:rPr>
          <w:rFonts w:ascii="Palatino Linotype" w:eastAsia="Calibri" w:hAnsi="Palatino Linotype"/>
          <w:b/>
          <w:bCs/>
          <w:lang w:val="en-US"/>
        </w:rPr>
      </w:pPr>
    </w:p>
    <w:p w:rsidR="00FC6FDB" w:rsidRDefault="00FC6FDB" w:rsidP="00FC6FDB">
      <w:pPr>
        <w:contextualSpacing/>
        <w:jc w:val="both"/>
        <w:rPr>
          <w:rFonts w:ascii="Palatino Linotype" w:eastAsia="Calibri" w:hAnsi="Palatino Linotype"/>
          <w:b/>
          <w:bCs/>
        </w:rPr>
      </w:pPr>
      <w:r>
        <w:rPr>
          <w:rFonts w:ascii="Palatino Linotype" w:eastAsia="Calibri" w:hAnsi="Palatino Linotype"/>
          <w:b/>
          <w:bCs/>
        </w:rPr>
        <w:t xml:space="preserve">5. </w:t>
      </w:r>
      <w:r w:rsidRPr="00BC0983">
        <w:rPr>
          <w:rFonts w:ascii="Palatino Linotype" w:eastAsia="Calibri" w:hAnsi="Palatino Linotype"/>
          <w:b/>
          <w:bCs/>
        </w:rPr>
        <w:t xml:space="preserve">Enhancement of </w:t>
      </w:r>
      <w:r>
        <w:rPr>
          <w:rFonts w:ascii="Palatino Linotype" w:eastAsia="Calibri" w:hAnsi="Palatino Linotype"/>
          <w:b/>
          <w:bCs/>
        </w:rPr>
        <w:t>O</w:t>
      </w:r>
      <w:r w:rsidRPr="00BC0983">
        <w:rPr>
          <w:rFonts w:ascii="Palatino Linotype" w:eastAsia="Calibri" w:hAnsi="Palatino Linotype"/>
          <w:b/>
          <w:bCs/>
        </w:rPr>
        <w:t xml:space="preserve">verall </w:t>
      </w:r>
      <w:r>
        <w:rPr>
          <w:rFonts w:ascii="Palatino Linotype" w:eastAsia="Calibri" w:hAnsi="Palatino Linotype"/>
          <w:b/>
          <w:bCs/>
        </w:rPr>
        <w:t>L</w:t>
      </w:r>
      <w:r w:rsidRPr="00BC0983">
        <w:rPr>
          <w:rFonts w:ascii="Palatino Linotype" w:eastAsia="Calibri" w:hAnsi="Palatino Linotype"/>
          <w:b/>
          <w:bCs/>
        </w:rPr>
        <w:t xml:space="preserve">imit for </w:t>
      </w:r>
      <w:r>
        <w:rPr>
          <w:rFonts w:ascii="Palatino Linotype" w:eastAsia="Calibri" w:hAnsi="Palatino Linotype"/>
          <w:b/>
          <w:bCs/>
        </w:rPr>
        <w:t>O</w:t>
      </w:r>
      <w:r w:rsidRPr="00BC0983">
        <w:rPr>
          <w:rFonts w:ascii="Palatino Linotype" w:eastAsia="Calibri" w:hAnsi="Palatino Linotype"/>
          <w:b/>
          <w:bCs/>
        </w:rPr>
        <w:t xml:space="preserve">verseas </w:t>
      </w:r>
      <w:r>
        <w:rPr>
          <w:rFonts w:ascii="Palatino Linotype" w:eastAsia="Calibri" w:hAnsi="Palatino Linotype"/>
          <w:b/>
          <w:bCs/>
        </w:rPr>
        <w:t>I</w:t>
      </w:r>
      <w:r w:rsidRPr="00BC0983">
        <w:rPr>
          <w:rFonts w:ascii="Palatino Linotype" w:eastAsia="Calibri" w:hAnsi="Palatino Linotype"/>
          <w:b/>
          <w:bCs/>
        </w:rPr>
        <w:t xml:space="preserve">nvestment by Alternative Investment Funds/Venture Capital Funds </w:t>
      </w:r>
    </w:p>
    <w:p w:rsidR="00FC6FDB" w:rsidRDefault="00FC6FDB" w:rsidP="00FC6FDB">
      <w:pPr>
        <w:jc w:val="both"/>
        <w:rPr>
          <w:rFonts w:ascii="Palatino Linotype" w:eastAsia="Calibri" w:hAnsi="Palatino Linotype"/>
          <w:b/>
        </w:rPr>
      </w:pPr>
    </w:p>
    <w:p w:rsidR="00FC6FDB" w:rsidRDefault="00FC6FDB" w:rsidP="00FC6FDB">
      <w:pPr>
        <w:jc w:val="both"/>
        <w:rPr>
          <w:rFonts w:ascii="Palatino Linotype" w:eastAsia="Calibri" w:hAnsi="Palatino Linotype"/>
          <w:bCs/>
        </w:rPr>
      </w:pPr>
      <w:r>
        <w:rPr>
          <w:rFonts w:ascii="Palatino Linotype" w:eastAsia="Calibri" w:hAnsi="Palatino Linotype"/>
          <w:bCs/>
        </w:rPr>
        <w:t>In consultation with Reserve Bank of India, o</w:t>
      </w:r>
      <w:r w:rsidRPr="00273E03">
        <w:rPr>
          <w:rFonts w:ascii="Palatino Linotype" w:eastAsia="Calibri" w:hAnsi="Palatino Linotype"/>
          <w:bCs/>
        </w:rPr>
        <w:t>verseas investment limit</w:t>
      </w:r>
      <w:r>
        <w:rPr>
          <w:rFonts w:ascii="Palatino Linotype" w:eastAsia="Calibri" w:hAnsi="Palatino Linotype"/>
          <w:bCs/>
        </w:rPr>
        <w:t xml:space="preserve"> was</w:t>
      </w:r>
      <w:r w:rsidRPr="00273E03">
        <w:rPr>
          <w:rFonts w:ascii="Palatino Linotype" w:eastAsia="Calibri" w:hAnsi="Palatino Linotype"/>
          <w:bCs/>
        </w:rPr>
        <w:t xml:space="preserve"> raised for alternative investment funds and venture capital funds from US</w:t>
      </w:r>
      <w:r>
        <w:rPr>
          <w:rFonts w:ascii="Palatino Linotype" w:eastAsia="Calibri" w:hAnsi="Palatino Linotype"/>
          <w:bCs/>
        </w:rPr>
        <w:t>D</w:t>
      </w:r>
      <w:r w:rsidRPr="00273E03">
        <w:rPr>
          <w:rFonts w:ascii="Palatino Linotype" w:eastAsia="Calibri" w:hAnsi="Palatino Linotype"/>
          <w:bCs/>
        </w:rPr>
        <w:t xml:space="preserve"> 750 million to U</w:t>
      </w:r>
      <w:r>
        <w:rPr>
          <w:rFonts w:ascii="Palatino Linotype" w:eastAsia="Calibri" w:hAnsi="Palatino Linotype"/>
          <w:bCs/>
        </w:rPr>
        <w:t xml:space="preserve">SD </w:t>
      </w:r>
      <w:r w:rsidRPr="00273E03">
        <w:rPr>
          <w:rFonts w:ascii="Palatino Linotype" w:eastAsia="Calibri" w:hAnsi="Palatino Linotype"/>
          <w:bCs/>
        </w:rPr>
        <w:t xml:space="preserve">1,500 million.  </w:t>
      </w:r>
    </w:p>
    <w:p w:rsidR="00FC6FDB" w:rsidRPr="003D04B7" w:rsidRDefault="00FC6FDB" w:rsidP="00FC6FDB">
      <w:pPr>
        <w:jc w:val="both"/>
        <w:rPr>
          <w:rFonts w:ascii="Palatino Linotype" w:eastAsia="Calibri" w:hAnsi="Palatino Linotype"/>
          <w:bCs/>
          <w:color w:val="FF0000"/>
        </w:rPr>
      </w:pPr>
    </w:p>
    <w:p w:rsidR="00FC6FDB" w:rsidRDefault="00FC6FDB" w:rsidP="00FC6FDB">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BC0983">
        <w:rPr>
          <w:rFonts w:ascii="Palatino Linotype" w:eastAsia="Calibri" w:hAnsi="Palatino Linotype"/>
          <w:bCs/>
          <w:i/>
          <w:iCs/>
        </w:rPr>
        <w:t>SEBI/HO/IMD/DF6/CIR/P/2021/565</w:t>
      </w:r>
      <w:r>
        <w:rPr>
          <w:rFonts w:ascii="Palatino Linotype" w:eastAsia="Calibri" w:hAnsi="Palatino Linotype"/>
          <w:bCs/>
          <w:i/>
          <w:iCs/>
        </w:rPr>
        <w:t xml:space="preserve"> d</w:t>
      </w:r>
      <w:r w:rsidRPr="001D431F">
        <w:rPr>
          <w:rFonts w:ascii="Palatino Linotype" w:eastAsia="Calibri" w:hAnsi="Palatino Linotype"/>
          <w:bCs/>
          <w:i/>
          <w:iCs/>
        </w:rPr>
        <w:t xml:space="preserve">ated </w:t>
      </w:r>
      <w:r>
        <w:rPr>
          <w:rFonts w:ascii="Palatino Linotype" w:eastAsia="Calibri" w:hAnsi="Palatino Linotype"/>
          <w:bCs/>
          <w:i/>
          <w:iCs/>
        </w:rPr>
        <w:t>May 21</w:t>
      </w:r>
      <w:r w:rsidRPr="001D431F">
        <w:rPr>
          <w:rFonts w:ascii="Palatino Linotype" w:eastAsia="Calibri" w:hAnsi="Palatino Linotype"/>
          <w:bCs/>
          <w:i/>
          <w:iCs/>
        </w:rPr>
        <w:t>, 2021</w:t>
      </w:r>
    </w:p>
    <w:p w:rsidR="00FC6FDB" w:rsidRDefault="00FC6FDB" w:rsidP="00FC6FDB">
      <w:pPr>
        <w:rPr>
          <w:rFonts w:ascii="Palatino Linotype" w:hAnsi="Palatino Linotype"/>
          <w:b/>
          <w:sz w:val="28"/>
          <w:szCs w:val="36"/>
          <w:u w:val="single"/>
        </w:rPr>
      </w:pPr>
    </w:p>
    <w:p w:rsidR="00FC6FDB" w:rsidRDefault="00FC6FDB" w:rsidP="00FC6FDB">
      <w:pPr>
        <w:contextualSpacing/>
        <w:jc w:val="both"/>
        <w:rPr>
          <w:rFonts w:ascii="Palatino Linotype" w:eastAsia="Calibri" w:hAnsi="Palatino Linotype"/>
          <w:b/>
          <w:bCs/>
        </w:rPr>
      </w:pPr>
      <w:r>
        <w:rPr>
          <w:rFonts w:ascii="Palatino Linotype" w:eastAsia="Calibri" w:hAnsi="Palatino Linotype"/>
          <w:b/>
          <w:bCs/>
        </w:rPr>
        <w:t xml:space="preserve">6. </w:t>
      </w:r>
      <w:r w:rsidRPr="005B38CD">
        <w:rPr>
          <w:rFonts w:ascii="Palatino Linotype" w:eastAsia="Calibri" w:hAnsi="Palatino Linotype"/>
          <w:b/>
          <w:bCs/>
        </w:rPr>
        <w:t xml:space="preserve">Format of </w:t>
      </w:r>
      <w:r>
        <w:rPr>
          <w:rFonts w:ascii="Palatino Linotype" w:eastAsia="Calibri" w:hAnsi="Palatino Linotype"/>
          <w:b/>
          <w:bCs/>
        </w:rPr>
        <w:t>C</w:t>
      </w:r>
      <w:r w:rsidRPr="005B38CD">
        <w:rPr>
          <w:rFonts w:ascii="Palatino Linotype" w:eastAsia="Calibri" w:hAnsi="Palatino Linotype"/>
          <w:b/>
          <w:bCs/>
        </w:rPr>
        <w:t xml:space="preserve">ompliance </w:t>
      </w:r>
      <w:r>
        <w:rPr>
          <w:rFonts w:ascii="Palatino Linotype" w:eastAsia="Calibri" w:hAnsi="Palatino Linotype"/>
          <w:b/>
          <w:bCs/>
        </w:rPr>
        <w:t>R</w:t>
      </w:r>
      <w:r w:rsidRPr="005B38CD">
        <w:rPr>
          <w:rFonts w:ascii="Palatino Linotype" w:eastAsia="Calibri" w:hAnsi="Palatino Linotype"/>
          <w:b/>
          <w:bCs/>
        </w:rPr>
        <w:t>eport on Corporate Governance by Listed Entities</w:t>
      </w:r>
    </w:p>
    <w:p w:rsidR="00FC6FDB" w:rsidRDefault="00FC6FDB" w:rsidP="00FC6FDB">
      <w:pPr>
        <w:jc w:val="both"/>
        <w:rPr>
          <w:rFonts w:ascii="Palatino Linotype" w:eastAsia="Calibri" w:hAnsi="Palatino Linotype"/>
          <w:b/>
        </w:rPr>
      </w:pPr>
    </w:p>
    <w:p w:rsidR="00FC6FDB" w:rsidRPr="00D97EDA" w:rsidRDefault="00FC6FDB" w:rsidP="00FC6FDB">
      <w:pPr>
        <w:pStyle w:val="Default"/>
        <w:jc w:val="both"/>
        <w:rPr>
          <w:lang w:val="en-IN" w:bidi="hi-IN"/>
        </w:rPr>
      </w:pPr>
      <w:r>
        <w:rPr>
          <w:sz w:val="22"/>
          <w:szCs w:val="22"/>
        </w:rPr>
        <w:t xml:space="preserve">In order to bring about transparency and to strengthen the disclosures around loans/ guarantees/comfort letters/ security provided by the listed entity, directly or indirectly to promoter/ promoter group entities or any other entity controlled by them, disclosures mandated vide SEBI circular CIR/CFD/CMD/5/2015 dated September 24, 2015 and modified vide circular SEBI/HO/CFD/CMD1/CIR/P/2019/78 dated July 16, 2019, were mandated  in the prescribed format on a half yearly basis, in the Compliance Report on Corporate Governance. The same </w:t>
      </w:r>
      <w:r w:rsidRPr="009E7098">
        <w:rPr>
          <w:sz w:val="22"/>
          <w:szCs w:val="22"/>
          <w:lang w:val="en-IN" w:bidi="hi-IN"/>
        </w:rPr>
        <w:t xml:space="preserve">shall be effective from financial year 2021-22. </w:t>
      </w:r>
    </w:p>
    <w:p w:rsidR="00FC6FDB" w:rsidRPr="00D97EDA" w:rsidRDefault="00FC6FDB" w:rsidP="00FC6FDB">
      <w:pPr>
        <w:pStyle w:val="Default"/>
      </w:pPr>
      <w:r>
        <w:rPr>
          <w:sz w:val="22"/>
          <w:szCs w:val="22"/>
        </w:rPr>
        <w:t xml:space="preserve"> </w:t>
      </w:r>
    </w:p>
    <w:p w:rsidR="00FC6FDB" w:rsidRPr="00CB4C1E" w:rsidRDefault="00FC6FDB" w:rsidP="00FC6FDB">
      <w:pPr>
        <w:jc w:val="both"/>
        <w:rPr>
          <w:rFonts w:ascii="Palatino Linotype" w:eastAsia="Calibri" w:hAnsi="Palatino Linotype"/>
          <w:bCs/>
        </w:rPr>
      </w:pPr>
      <w:r>
        <w:rPr>
          <w:rFonts w:ascii="Palatino Linotype" w:eastAsia="Calibri" w:hAnsi="Palatino Linotype"/>
          <w:bCs/>
        </w:rPr>
        <w:t xml:space="preserve"> </w:t>
      </w:r>
    </w:p>
    <w:p w:rsidR="00FC6FDB" w:rsidRPr="00CB4C1E" w:rsidRDefault="00FC6FDB" w:rsidP="00FC6FDB">
      <w:pPr>
        <w:jc w:val="both"/>
        <w:rPr>
          <w:rFonts w:ascii="Palatino Linotype" w:eastAsia="Calibri" w:hAnsi="Palatino Linotype"/>
          <w:bCs/>
        </w:rPr>
      </w:pPr>
    </w:p>
    <w:p w:rsidR="00FC6FDB" w:rsidRDefault="00FC6FDB" w:rsidP="00FC6FDB">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5B38CD">
        <w:rPr>
          <w:rFonts w:ascii="Palatino Linotype" w:eastAsia="Calibri" w:hAnsi="Palatino Linotype"/>
          <w:bCs/>
          <w:i/>
          <w:iCs/>
        </w:rPr>
        <w:t>SEBI/HO/CFD/CMD-2/P/CIR/2021/567</w:t>
      </w:r>
      <w:r>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May 31</w:t>
      </w:r>
      <w:r w:rsidRPr="001D431F">
        <w:rPr>
          <w:rFonts w:ascii="Palatino Linotype" w:eastAsia="Calibri" w:hAnsi="Palatino Linotype"/>
          <w:bCs/>
          <w:i/>
          <w:iCs/>
        </w:rPr>
        <w:t>, 2021</w:t>
      </w:r>
    </w:p>
    <w:p w:rsidR="00FC6FDB" w:rsidRDefault="00FC6FDB" w:rsidP="00FC6FDB">
      <w:pPr>
        <w:jc w:val="both"/>
        <w:rPr>
          <w:rFonts w:ascii="Palatino Linotype" w:eastAsia="Calibri" w:hAnsi="Palatino Linotype"/>
          <w:bCs/>
          <w:i/>
          <w:iCs/>
        </w:rPr>
      </w:pPr>
    </w:p>
    <w:p w:rsidR="00FC6FDB" w:rsidRDefault="00FC6FDB" w:rsidP="00FC6FDB">
      <w:pPr>
        <w:contextualSpacing/>
        <w:jc w:val="both"/>
        <w:rPr>
          <w:rFonts w:ascii="Palatino Linotype" w:eastAsia="Calibri" w:hAnsi="Palatino Linotype"/>
          <w:b/>
          <w:bCs/>
        </w:rPr>
      </w:pPr>
      <w:r>
        <w:rPr>
          <w:rFonts w:ascii="Palatino Linotype" w:eastAsia="Calibri" w:hAnsi="Palatino Linotype"/>
          <w:b/>
          <w:bCs/>
        </w:rPr>
        <w:lastRenderedPageBreak/>
        <w:t>7. Disclosure pertaining</w:t>
      </w:r>
      <w:r w:rsidRPr="005B38CD">
        <w:rPr>
          <w:rFonts w:ascii="Palatino Linotype" w:eastAsia="Calibri" w:hAnsi="Palatino Linotype"/>
          <w:b/>
          <w:bCs/>
        </w:rPr>
        <w:t xml:space="preserve"> </w:t>
      </w:r>
      <w:r>
        <w:rPr>
          <w:rFonts w:ascii="Palatino Linotype" w:eastAsia="Calibri" w:hAnsi="Palatino Linotype"/>
          <w:b/>
          <w:bCs/>
        </w:rPr>
        <w:t>R</w:t>
      </w:r>
      <w:r w:rsidRPr="005B38CD">
        <w:rPr>
          <w:rFonts w:ascii="Palatino Linotype" w:eastAsia="Calibri" w:hAnsi="Palatino Linotype"/>
          <w:b/>
          <w:bCs/>
        </w:rPr>
        <w:t>isk-</w:t>
      </w:r>
      <w:r>
        <w:rPr>
          <w:rFonts w:ascii="Palatino Linotype" w:eastAsia="Calibri" w:hAnsi="Palatino Linotype"/>
          <w:b/>
          <w:bCs/>
        </w:rPr>
        <w:t>O</w:t>
      </w:r>
      <w:r w:rsidRPr="005B38CD">
        <w:rPr>
          <w:rFonts w:ascii="Palatino Linotype" w:eastAsia="Calibri" w:hAnsi="Palatino Linotype"/>
          <w:b/>
          <w:bCs/>
        </w:rPr>
        <w:t>-</w:t>
      </w:r>
      <w:r>
        <w:rPr>
          <w:rFonts w:ascii="Palatino Linotype" w:eastAsia="Calibri" w:hAnsi="Palatino Linotype"/>
          <w:b/>
          <w:bCs/>
        </w:rPr>
        <w:t>M</w:t>
      </w:r>
      <w:r w:rsidRPr="005B38CD">
        <w:rPr>
          <w:rFonts w:ascii="Palatino Linotype" w:eastAsia="Calibri" w:hAnsi="Palatino Linotype"/>
          <w:b/>
          <w:bCs/>
        </w:rPr>
        <w:t xml:space="preserve">eter of the </w:t>
      </w:r>
      <w:r>
        <w:rPr>
          <w:rFonts w:ascii="Palatino Linotype" w:eastAsia="Calibri" w:hAnsi="Palatino Linotype"/>
          <w:b/>
          <w:bCs/>
        </w:rPr>
        <w:t>S</w:t>
      </w:r>
      <w:r w:rsidRPr="005B38CD">
        <w:rPr>
          <w:rFonts w:ascii="Palatino Linotype" w:eastAsia="Calibri" w:hAnsi="Palatino Linotype"/>
          <w:b/>
          <w:bCs/>
        </w:rPr>
        <w:t xml:space="preserve">cheme and the </w:t>
      </w:r>
      <w:r>
        <w:rPr>
          <w:rFonts w:ascii="Palatino Linotype" w:eastAsia="Calibri" w:hAnsi="Palatino Linotype"/>
          <w:b/>
          <w:bCs/>
        </w:rPr>
        <w:t>B</w:t>
      </w:r>
      <w:r w:rsidRPr="005B38CD">
        <w:rPr>
          <w:rFonts w:ascii="Palatino Linotype" w:eastAsia="Calibri" w:hAnsi="Palatino Linotype"/>
          <w:b/>
          <w:bCs/>
        </w:rPr>
        <w:t xml:space="preserve">enchmark and Details of the </w:t>
      </w:r>
      <w:r>
        <w:rPr>
          <w:rFonts w:ascii="Palatino Linotype" w:eastAsia="Calibri" w:hAnsi="Palatino Linotype"/>
          <w:b/>
          <w:bCs/>
        </w:rPr>
        <w:t>P</w:t>
      </w:r>
      <w:r w:rsidRPr="005B38CD">
        <w:rPr>
          <w:rFonts w:ascii="Palatino Linotype" w:eastAsia="Calibri" w:hAnsi="Palatino Linotype"/>
          <w:b/>
          <w:bCs/>
        </w:rPr>
        <w:t>ortfolio</w:t>
      </w:r>
    </w:p>
    <w:p w:rsidR="00FC6FDB" w:rsidRDefault="00FC6FDB" w:rsidP="00FC6FDB">
      <w:pPr>
        <w:jc w:val="both"/>
        <w:rPr>
          <w:rFonts w:ascii="Palatino Linotype" w:eastAsia="Calibri" w:hAnsi="Palatino Linotype"/>
          <w:b/>
        </w:rPr>
      </w:pPr>
    </w:p>
    <w:p w:rsidR="00FC6FDB" w:rsidRPr="00FA3C2B" w:rsidRDefault="00FC6FDB" w:rsidP="00FC6FDB">
      <w:pPr>
        <w:autoSpaceDE w:val="0"/>
        <w:autoSpaceDN w:val="0"/>
        <w:adjustRightInd w:val="0"/>
        <w:jc w:val="both"/>
        <w:rPr>
          <w:rFonts w:ascii="Palatino Linotype" w:hAnsi="Palatino Linotype" w:cs="CIDFont+F5"/>
          <w:lang w:val="en-IN" w:eastAsia="en-IN" w:bidi="hi-IN"/>
        </w:rPr>
      </w:pPr>
      <w:r w:rsidRPr="00FA3C2B">
        <w:rPr>
          <w:rFonts w:ascii="Palatino Linotype" w:hAnsi="Palatino Linotype" w:cs="CIDFont+F5"/>
          <w:lang w:val="en-IN" w:eastAsia="en-IN" w:bidi="hi-IN"/>
        </w:rPr>
        <w:t>SEBI, vide circular no. SEBI/HO/IMD/IMD-II DOF3/P/CIR/2021/555 dated April 29, 2021, specified disclosures with regard to disclosure of (a) risk-o-meter of the scheme and the benchmark along with the performance disclosure of the scheme vis-à-vis benchmark and (b) details of portfolio, which were applicable from June 01, 2021.</w:t>
      </w:r>
      <w:r>
        <w:rPr>
          <w:rFonts w:ascii="Palatino Linotype" w:hAnsi="Palatino Linotype" w:cs="CIDFont+F5"/>
          <w:lang w:val="en-IN" w:eastAsia="en-IN" w:bidi="hi-IN"/>
        </w:rPr>
        <w:t xml:space="preserve"> </w:t>
      </w:r>
      <w:r w:rsidRPr="00FA3C2B">
        <w:rPr>
          <w:rFonts w:ascii="Palatino Linotype" w:hAnsi="Palatino Linotype" w:cs="CIDFont+F5"/>
          <w:lang w:val="en-IN" w:eastAsia="en-IN" w:bidi="hi-IN"/>
        </w:rPr>
        <w:t>Based on the representation received from AMFI, timelines extended for implementation of disclosure of risk-o-metre of the scheme along</w:t>
      </w:r>
      <w:r w:rsidRPr="00FA3C2B">
        <w:rPr>
          <w:rFonts w:ascii="Palatino Linotype" w:eastAsia="Calibri" w:hAnsi="Palatino Linotype"/>
          <w:bCs/>
        </w:rPr>
        <w:t xml:space="preserve"> with the performance of the scheme and benchmark and details of portfolio to September 01, 2021. </w:t>
      </w:r>
    </w:p>
    <w:p w:rsidR="00FC6FDB" w:rsidRDefault="00FC6FDB" w:rsidP="00FC6FDB">
      <w:pPr>
        <w:jc w:val="both"/>
        <w:rPr>
          <w:rFonts w:ascii="Palatino Linotype" w:eastAsia="Calibri" w:hAnsi="Palatino Linotype"/>
          <w:bCs/>
        </w:rPr>
      </w:pPr>
    </w:p>
    <w:p w:rsidR="00FC6FDB" w:rsidRDefault="00FC6FDB" w:rsidP="00FC6FDB">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5B38CD">
        <w:rPr>
          <w:rFonts w:ascii="Palatino Linotype" w:eastAsia="Calibri" w:hAnsi="Palatino Linotype"/>
          <w:bCs/>
          <w:i/>
          <w:iCs/>
        </w:rPr>
        <w:t>SEBI/HO/IMD/IMD-II DOF3/P/CIR/2021/566</w:t>
      </w:r>
      <w:r w:rsidRPr="000C75B5">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May 31</w:t>
      </w:r>
      <w:r w:rsidRPr="001D431F">
        <w:rPr>
          <w:rFonts w:ascii="Palatino Linotype" w:eastAsia="Calibri" w:hAnsi="Palatino Linotype"/>
          <w:bCs/>
          <w:i/>
          <w:iCs/>
        </w:rPr>
        <w:t>, 2021</w:t>
      </w:r>
    </w:p>
    <w:p w:rsidR="00FC6FDB" w:rsidRDefault="00FC6FDB" w:rsidP="00FC6FDB">
      <w:pPr>
        <w:jc w:val="both"/>
        <w:rPr>
          <w:rFonts w:ascii="Palatino Linotype" w:eastAsia="Calibri" w:hAnsi="Palatino Linotype"/>
          <w:bCs/>
          <w:i/>
          <w:iCs/>
        </w:rPr>
      </w:pPr>
    </w:p>
    <w:p w:rsidR="00FC6FDB" w:rsidRDefault="00FC6FDB" w:rsidP="00FC6FDB">
      <w:pPr>
        <w:contextualSpacing/>
        <w:jc w:val="both"/>
        <w:rPr>
          <w:rFonts w:ascii="Palatino Linotype" w:eastAsia="Calibri" w:hAnsi="Palatino Linotype"/>
          <w:b/>
          <w:bCs/>
        </w:rPr>
      </w:pPr>
      <w:r>
        <w:rPr>
          <w:rFonts w:ascii="Palatino Linotype" w:eastAsia="Calibri" w:hAnsi="Palatino Linotype"/>
          <w:b/>
          <w:bCs/>
        </w:rPr>
        <w:t xml:space="preserve">8. </w:t>
      </w:r>
      <w:r w:rsidRPr="005B38CD">
        <w:rPr>
          <w:rFonts w:ascii="Palatino Linotype" w:eastAsia="Calibri" w:hAnsi="Palatino Linotype"/>
          <w:b/>
          <w:bCs/>
        </w:rPr>
        <w:t xml:space="preserve">Circular on Relaxation in </w:t>
      </w:r>
      <w:r>
        <w:rPr>
          <w:rFonts w:ascii="Palatino Linotype" w:eastAsia="Calibri" w:hAnsi="Palatino Linotype"/>
          <w:b/>
          <w:bCs/>
        </w:rPr>
        <w:t>C</w:t>
      </w:r>
      <w:r w:rsidRPr="005B38CD">
        <w:rPr>
          <w:rFonts w:ascii="Palatino Linotype" w:eastAsia="Calibri" w:hAnsi="Palatino Linotype"/>
          <w:b/>
          <w:bCs/>
        </w:rPr>
        <w:t xml:space="preserve">ompliance with </w:t>
      </w:r>
      <w:r>
        <w:rPr>
          <w:rFonts w:ascii="Palatino Linotype" w:eastAsia="Calibri" w:hAnsi="Palatino Linotype"/>
          <w:b/>
          <w:bCs/>
        </w:rPr>
        <w:t>R</w:t>
      </w:r>
      <w:r w:rsidRPr="005B38CD">
        <w:rPr>
          <w:rFonts w:ascii="Palatino Linotype" w:eastAsia="Calibri" w:hAnsi="Palatino Linotype"/>
          <w:b/>
          <w:bCs/>
        </w:rPr>
        <w:t xml:space="preserve">equirements pertaining to </w:t>
      </w:r>
      <w:r w:rsidRPr="00BC0983">
        <w:rPr>
          <w:rFonts w:ascii="Palatino Linotype" w:eastAsia="Calibri" w:hAnsi="Palatino Linotype"/>
          <w:b/>
          <w:bCs/>
        </w:rPr>
        <w:t>Alternative Investment Funds/Venture Capital Funds</w:t>
      </w:r>
    </w:p>
    <w:p w:rsidR="00FC6FDB" w:rsidRDefault="00FC6FDB" w:rsidP="00FC6FDB">
      <w:pPr>
        <w:jc w:val="both"/>
        <w:rPr>
          <w:rFonts w:ascii="Palatino Linotype" w:eastAsia="Calibri" w:hAnsi="Palatino Linotype"/>
          <w:b/>
        </w:rPr>
      </w:pPr>
    </w:p>
    <w:p w:rsidR="00FC6FDB" w:rsidRDefault="00FC6FDB" w:rsidP="00FC6FDB">
      <w:pPr>
        <w:jc w:val="both"/>
        <w:rPr>
          <w:rFonts w:ascii="Palatino Linotype" w:eastAsia="Calibri" w:hAnsi="Palatino Linotype"/>
          <w:bCs/>
        </w:rPr>
      </w:pPr>
      <w:r>
        <w:rPr>
          <w:rFonts w:ascii="Palatino Linotype" w:eastAsia="Calibri" w:hAnsi="Palatino Linotype"/>
          <w:bCs/>
        </w:rPr>
        <w:t>Timelines extended f</w:t>
      </w:r>
      <w:r w:rsidRPr="00940F03">
        <w:rPr>
          <w:rFonts w:ascii="Palatino Linotype" w:eastAsia="Calibri" w:hAnsi="Palatino Linotype"/>
          <w:bCs/>
        </w:rPr>
        <w:t>or regulatory filings by</w:t>
      </w:r>
      <w:r>
        <w:rPr>
          <w:rFonts w:ascii="Palatino Linotype" w:eastAsia="Calibri" w:hAnsi="Palatino Linotype"/>
          <w:bCs/>
        </w:rPr>
        <w:t xml:space="preserve"> Alternative Investment Funds (</w:t>
      </w:r>
      <w:r w:rsidRPr="00940F03">
        <w:rPr>
          <w:rFonts w:ascii="Palatino Linotype" w:eastAsia="Calibri" w:hAnsi="Palatino Linotype"/>
          <w:bCs/>
        </w:rPr>
        <w:t>AIFs</w:t>
      </w:r>
      <w:r>
        <w:rPr>
          <w:rFonts w:ascii="Palatino Linotype" w:eastAsia="Calibri" w:hAnsi="Palatino Linotype"/>
          <w:bCs/>
        </w:rPr>
        <w:t xml:space="preserve">) </w:t>
      </w:r>
      <w:r w:rsidRPr="00940F03">
        <w:rPr>
          <w:rFonts w:ascii="Palatino Linotype" w:eastAsia="Calibri" w:hAnsi="Palatino Linotype"/>
          <w:bCs/>
        </w:rPr>
        <w:t xml:space="preserve">and </w:t>
      </w:r>
      <w:r>
        <w:rPr>
          <w:rFonts w:ascii="Palatino Linotype" w:eastAsia="Calibri" w:hAnsi="Palatino Linotype"/>
          <w:bCs/>
        </w:rPr>
        <w:t>Venture Capital Funds (</w:t>
      </w:r>
      <w:r w:rsidRPr="00940F03">
        <w:rPr>
          <w:rFonts w:ascii="Palatino Linotype" w:eastAsia="Calibri" w:hAnsi="Palatino Linotype"/>
          <w:bCs/>
        </w:rPr>
        <w:t>VCFs</w:t>
      </w:r>
      <w:r>
        <w:rPr>
          <w:rFonts w:ascii="Palatino Linotype" w:eastAsia="Calibri" w:hAnsi="Palatino Linotype"/>
          <w:bCs/>
        </w:rPr>
        <w:t>)</w:t>
      </w:r>
      <w:r w:rsidRPr="00940F03">
        <w:rPr>
          <w:rFonts w:ascii="Palatino Linotype" w:eastAsia="Calibri" w:hAnsi="Palatino Linotype"/>
          <w:bCs/>
        </w:rPr>
        <w:t xml:space="preserve"> during</w:t>
      </w:r>
      <w:r>
        <w:rPr>
          <w:rFonts w:ascii="Palatino Linotype" w:eastAsia="Calibri" w:hAnsi="Palatino Linotype"/>
          <w:bCs/>
        </w:rPr>
        <w:t xml:space="preserve"> </w:t>
      </w:r>
      <w:r w:rsidRPr="00940F03">
        <w:rPr>
          <w:rFonts w:ascii="Palatino Linotype" w:eastAsia="Calibri" w:hAnsi="Palatino Linotype"/>
          <w:bCs/>
        </w:rPr>
        <w:t>the</w:t>
      </w:r>
      <w:r>
        <w:rPr>
          <w:rFonts w:ascii="Palatino Linotype" w:eastAsia="Calibri" w:hAnsi="Palatino Linotype"/>
          <w:bCs/>
        </w:rPr>
        <w:t xml:space="preserve"> </w:t>
      </w:r>
      <w:r w:rsidRPr="00940F03">
        <w:rPr>
          <w:rFonts w:ascii="Palatino Linotype" w:eastAsia="Calibri" w:hAnsi="Palatino Linotype"/>
          <w:bCs/>
        </w:rPr>
        <w:t>period ending March 2021</w:t>
      </w:r>
      <w:r>
        <w:rPr>
          <w:rFonts w:ascii="Palatino Linotype" w:eastAsia="Calibri" w:hAnsi="Palatino Linotype"/>
          <w:bCs/>
        </w:rPr>
        <w:t xml:space="preserve"> </w:t>
      </w:r>
      <w:r w:rsidRPr="00940F03">
        <w:rPr>
          <w:rFonts w:ascii="Palatino Linotype" w:eastAsia="Calibri" w:hAnsi="Palatino Linotype"/>
          <w:bCs/>
        </w:rPr>
        <w:t>to</w:t>
      </w:r>
      <w:r>
        <w:rPr>
          <w:rFonts w:ascii="Palatino Linotype" w:eastAsia="Calibri" w:hAnsi="Palatino Linotype"/>
          <w:bCs/>
        </w:rPr>
        <w:t xml:space="preserve"> </w:t>
      </w:r>
      <w:r w:rsidRPr="00940F03">
        <w:rPr>
          <w:rFonts w:ascii="Palatino Linotype" w:eastAsia="Calibri" w:hAnsi="Palatino Linotype"/>
          <w:bCs/>
        </w:rPr>
        <w:t>July</w:t>
      </w:r>
      <w:r>
        <w:rPr>
          <w:rFonts w:ascii="Palatino Linotype" w:eastAsia="Calibri" w:hAnsi="Palatino Linotype"/>
          <w:bCs/>
        </w:rPr>
        <w:t xml:space="preserve"> </w:t>
      </w:r>
      <w:r w:rsidRPr="00940F03">
        <w:rPr>
          <w:rFonts w:ascii="Palatino Linotype" w:eastAsia="Calibri" w:hAnsi="Palatino Linotype"/>
          <w:bCs/>
        </w:rPr>
        <w:t>2021 as prescribed under SEBI (A</w:t>
      </w:r>
      <w:r>
        <w:rPr>
          <w:rFonts w:ascii="Palatino Linotype" w:eastAsia="Calibri" w:hAnsi="Palatino Linotype"/>
          <w:bCs/>
        </w:rPr>
        <w:t>IF</w:t>
      </w:r>
      <w:r w:rsidRPr="00940F03">
        <w:rPr>
          <w:rFonts w:ascii="Palatino Linotype" w:eastAsia="Calibri" w:hAnsi="Palatino Linotype"/>
          <w:bCs/>
        </w:rPr>
        <w:t>) Regulations, 2012 and circulars issued there</w:t>
      </w:r>
      <w:r>
        <w:rPr>
          <w:rFonts w:ascii="Palatino Linotype" w:eastAsia="Calibri" w:hAnsi="Palatino Linotype"/>
          <w:bCs/>
        </w:rPr>
        <w:t xml:space="preserve"> </w:t>
      </w:r>
      <w:r w:rsidRPr="00940F03">
        <w:rPr>
          <w:rFonts w:ascii="Palatino Linotype" w:eastAsia="Calibri" w:hAnsi="Palatino Linotype"/>
          <w:bCs/>
        </w:rPr>
        <w:t>under.</w:t>
      </w:r>
      <w:r>
        <w:rPr>
          <w:rFonts w:ascii="Palatino Linotype" w:eastAsia="Calibri" w:hAnsi="Palatino Linotype"/>
          <w:bCs/>
        </w:rPr>
        <w:t xml:space="preserve">  AIFs </w:t>
      </w:r>
      <w:r w:rsidRPr="00940F03">
        <w:rPr>
          <w:rFonts w:ascii="Palatino Linotype" w:eastAsia="Calibri" w:hAnsi="Palatino Linotype"/>
          <w:bCs/>
        </w:rPr>
        <w:t>and VCFs may submit regulatory filings for the aforesaid periods, as applicable, on or before September 30, 2021</w:t>
      </w:r>
      <w:r>
        <w:rPr>
          <w:rFonts w:ascii="Palatino Linotype" w:eastAsia="Calibri" w:hAnsi="Palatino Linotype"/>
          <w:bCs/>
        </w:rPr>
        <w:t>.</w:t>
      </w:r>
    </w:p>
    <w:p w:rsidR="0060602C" w:rsidRDefault="0060602C" w:rsidP="0060602C">
      <w:pPr>
        <w:jc w:val="both"/>
        <w:rPr>
          <w:rFonts w:ascii="Palatino Linotype" w:eastAsia="Calibri" w:hAnsi="Palatino Linotype"/>
          <w:bCs/>
          <w:i/>
          <w:iCs/>
        </w:rPr>
      </w:pPr>
    </w:p>
    <w:p w:rsidR="0060602C" w:rsidRDefault="0060602C" w:rsidP="0060602C">
      <w:pPr>
        <w:jc w:val="both"/>
        <w:rPr>
          <w:rFonts w:ascii="Palatino Linotype" w:eastAsia="Calibri" w:hAnsi="Palatino Linotype"/>
          <w:bCs/>
          <w:i/>
          <w:iCs/>
        </w:rPr>
      </w:pPr>
      <w:r w:rsidRPr="001D431F">
        <w:rPr>
          <w:rFonts w:ascii="Palatino Linotype" w:eastAsia="Calibri" w:hAnsi="Palatino Linotype"/>
          <w:bCs/>
          <w:i/>
          <w:iCs/>
        </w:rPr>
        <w:t>Source</w:t>
      </w:r>
      <w:r>
        <w:rPr>
          <w:rFonts w:ascii="Palatino Linotype" w:eastAsia="Calibri" w:hAnsi="Palatino Linotype"/>
          <w:bCs/>
          <w:i/>
          <w:iCs/>
        </w:rPr>
        <w:t>:</w:t>
      </w:r>
      <w:r w:rsidRPr="001D431F">
        <w:rPr>
          <w:rFonts w:ascii="Palatino Linotype" w:eastAsia="Calibri" w:hAnsi="Palatino Linotype"/>
          <w:bCs/>
          <w:i/>
          <w:iCs/>
        </w:rPr>
        <w:t xml:space="preserve"> </w:t>
      </w:r>
      <w:r w:rsidRPr="005B38CD">
        <w:rPr>
          <w:rFonts w:ascii="Palatino Linotype" w:eastAsia="Calibri" w:hAnsi="Palatino Linotype"/>
          <w:bCs/>
          <w:i/>
          <w:iCs/>
        </w:rPr>
        <w:t>SEBI/HO/IMD/IMD-I/DOF6/CIR/2021/568</w:t>
      </w:r>
      <w:r w:rsidRPr="000C75B5">
        <w:rPr>
          <w:rFonts w:ascii="Palatino Linotype" w:eastAsia="Calibri" w:hAnsi="Palatino Linotype"/>
          <w:bCs/>
          <w:i/>
          <w:iCs/>
        </w:rPr>
        <w:t xml:space="preserve"> </w:t>
      </w:r>
      <w:r w:rsidRPr="001805AA">
        <w:rPr>
          <w:rFonts w:ascii="Palatino Linotype" w:eastAsia="Calibri" w:hAnsi="Palatino Linotype"/>
          <w:bCs/>
          <w:i/>
          <w:iCs/>
        </w:rPr>
        <w:t>D</w:t>
      </w:r>
      <w:r w:rsidRPr="001D431F">
        <w:rPr>
          <w:rFonts w:ascii="Palatino Linotype" w:eastAsia="Calibri" w:hAnsi="Palatino Linotype"/>
          <w:bCs/>
          <w:i/>
          <w:iCs/>
        </w:rPr>
        <w:t xml:space="preserve">ated </w:t>
      </w:r>
      <w:r>
        <w:rPr>
          <w:rFonts w:ascii="Palatino Linotype" w:eastAsia="Calibri" w:hAnsi="Palatino Linotype"/>
          <w:bCs/>
          <w:i/>
          <w:iCs/>
        </w:rPr>
        <w:t>May 31</w:t>
      </w:r>
      <w:r w:rsidRPr="001D431F">
        <w:rPr>
          <w:rFonts w:ascii="Palatino Linotype" w:eastAsia="Calibri" w:hAnsi="Palatino Linotype"/>
          <w:bCs/>
          <w:i/>
          <w:iCs/>
        </w:rPr>
        <w:t>, 2021</w:t>
      </w:r>
    </w:p>
    <w:p w:rsidR="00092887" w:rsidRDefault="00284E34" w:rsidP="002F2984">
      <w:pPr>
        <w:spacing w:after="120"/>
        <w:rPr>
          <w:rFonts w:ascii="Palatino Linotype" w:hAnsi="Palatino Linotype"/>
          <w:b/>
          <w:bCs/>
        </w:rPr>
      </w:pPr>
      <w:r w:rsidRPr="008570C3">
        <w:rPr>
          <w:rFonts w:ascii="Garamond" w:hAnsi="Garamond" w:cs="Arial"/>
          <w:i/>
          <w:szCs w:val="32"/>
        </w:rPr>
        <w:t>Disclaimer: The summary has been prepared for the convenience of readers. In case of any ambiguity, please refer to the original circular.</w:t>
      </w:r>
      <w:r w:rsidR="00092887">
        <w:rPr>
          <w:rFonts w:ascii="Palatino Linotype" w:hAnsi="Palatino Linotype"/>
          <w:b/>
          <w:bCs/>
        </w:rPr>
        <w:br w:type="page"/>
      </w:r>
    </w:p>
    <w:p w:rsidR="00272724" w:rsidRPr="004752BB" w:rsidRDefault="00272724" w:rsidP="00272724">
      <w:pPr>
        <w:tabs>
          <w:tab w:val="left" w:pos="8160"/>
        </w:tabs>
        <w:jc w:val="center"/>
        <w:rPr>
          <w:rFonts w:ascii="Palatino Linotype" w:hAnsi="Palatino Linotype"/>
          <w:b/>
          <w:sz w:val="28"/>
          <w:szCs w:val="28"/>
        </w:rPr>
      </w:pPr>
      <w:r w:rsidRPr="004752BB">
        <w:rPr>
          <w:rFonts w:ascii="Palatino Linotype" w:hAnsi="Palatino Linotype"/>
          <w:b/>
          <w:sz w:val="28"/>
          <w:szCs w:val="28"/>
        </w:rPr>
        <w:lastRenderedPageBreak/>
        <w:t>REGULATORY ACTIONS TAKEN BY SEBI</w:t>
      </w:r>
    </w:p>
    <w:p w:rsidR="00272724" w:rsidRDefault="00272724" w:rsidP="00272724">
      <w:pPr>
        <w:rPr>
          <w:rFonts w:ascii="Palatino Linotype" w:hAnsi="Palatino Linotype"/>
          <w:b/>
          <w:sz w:val="40"/>
          <w:szCs w:val="40"/>
        </w:rPr>
      </w:pPr>
    </w:p>
    <w:p w:rsidR="00272724" w:rsidRDefault="00272724" w:rsidP="00272724">
      <w:pPr>
        <w:rPr>
          <w:rFonts w:ascii="Palatino Linotype" w:hAnsi="Palatino Linotype"/>
          <w:b/>
        </w:rPr>
      </w:pPr>
      <w:r w:rsidRPr="009E191B">
        <w:rPr>
          <w:rFonts w:ascii="Palatino Linotype" w:hAnsi="Palatino Linotype"/>
          <w:b/>
        </w:rPr>
        <w:t xml:space="preserve">Orders passed by </w:t>
      </w:r>
      <w:r>
        <w:rPr>
          <w:rFonts w:ascii="Palatino Linotype" w:hAnsi="Palatino Linotype"/>
          <w:b/>
        </w:rPr>
        <w:t xml:space="preserve">Whole Time </w:t>
      </w:r>
      <w:r w:rsidRPr="009E191B">
        <w:rPr>
          <w:rFonts w:ascii="Palatino Linotype" w:hAnsi="Palatino Linotype"/>
          <w:b/>
        </w:rPr>
        <w:t>Member</w:t>
      </w:r>
      <w:r>
        <w:rPr>
          <w:rFonts w:ascii="Palatino Linotype" w:hAnsi="Palatino Linotype"/>
          <w:b/>
        </w:rPr>
        <w:t>s</w:t>
      </w:r>
      <w:r w:rsidR="00F9747C">
        <w:rPr>
          <w:rFonts w:ascii="Palatino Linotype" w:hAnsi="Palatino Linotype"/>
          <w:b/>
        </w:rPr>
        <w:t xml:space="preserve"> / Adjudication Officers</w:t>
      </w:r>
      <w:r>
        <w:rPr>
          <w:rFonts w:ascii="Palatino Linotype" w:hAnsi="Palatino Linotype"/>
          <w:b/>
        </w:rPr>
        <w:t>:</w:t>
      </w:r>
    </w:p>
    <w:p w:rsidR="00A07B14" w:rsidRDefault="00A07B14" w:rsidP="00272724">
      <w:pPr>
        <w:rPr>
          <w:rFonts w:ascii="Palatino Linotype" w:hAnsi="Palatino Linotype"/>
          <w:b/>
        </w:rPr>
      </w:pPr>
    </w:p>
    <w:tbl>
      <w:tblPr>
        <w:tblW w:w="11482" w:type="dxa"/>
        <w:tblInd w:w="-714" w:type="dxa"/>
        <w:tblLayout w:type="fixed"/>
        <w:tblLook w:val="04A0" w:firstRow="1" w:lastRow="0" w:firstColumn="1" w:lastColumn="0" w:noHBand="0" w:noVBand="1"/>
      </w:tblPr>
      <w:tblGrid>
        <w:gridCol w:w="567"/>
        <w:gridCol w:w="1276"/>
        <w:gridCol w:w="2127"/>
        <w:gridCol w:w="1559"/>
        <w:gridCol w:w="2126"/>
        <w:gridCol w:w="2268"/>
        <w:gridCol w:w="1559"/>
      </w:tblGrid>
      <w:tr w:rsidR="000E7AC9" w:rsidRPr="00B83873" w:rsidTr="0045638C">
        <w:trPr>
          <w:trHeight w:val="300"/>
        </w:trPr>
        <w:tc>
          <w:tcPr>
            <w:tcW w:w="567" w:type="dxa"/>
            <w:tcBorders>
              <w:top w:val="single" w:sz="4" w:space="0" w:color="auto"/>
              <w:left w:val="single" w:sz="4" w:space="0" w:color="auto"/>
              <w:bottom w:val="single" w:sz="4" w:space="0" w:color="auto"/>
              <w:right w:val="single" w:sz="4" w:space="0" w:color="auto"/>
            </w:tcBorders>
          </w:tcPr>
          <w:p w:rsidR="000E7AC9"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Sl.</w:t>
            </w:r>
          </w:p>
          <w:p w:rsidR="000E7AC9" w:rsidRPr="00B83873"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Date</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Case Name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 xml:space="preserve">Action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Entity</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Violation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PENALTY</w:t>
            </w:r>
            <w:r>
              <w:rPr>
                <w:rFonts w:ascii="Palatino Linotype" w:hAnsi="Palatino Linotype" w:cs="Calibri"/>
                <w:b/>
                <w:bCs/>
                <w:color w:val="000000"/>
                <w:sz w:val="20"/>
                <w:szCs w:val="20"/>
                <w:lang w:val="en-IN" w:eastAsia="en-IN" w:bidi="hi-IN"/>
              </w:rPr>
              <w:t xml:space="preserve"> (</w:t>
            </w:r>
            <w:r w:rsidRPr="00D22F0B">
              <w:rPr>
                <w:rFonts w:ascii="Rupee Foradian" w:hAnsi="Rupee Foradian" w:cs="Calibri"/>
                <w:b/>
                <w:bCs/>
                <w:color w:val="000000"/>
                <w:sz w:val="20"/>
                <w:szCs w:val="20"/>
                <w:lang w:val="en-IN" w:eastAsia="en-IN" w:bidi="hi-IN"/>
              </w:rPr>
              <w:t>`</w:t>
            </w:r>
            <w:r>
              <w:rPr>
                <w:rFonts w:ascii="Palatino Linotype" w:hAnsi="Palatino Linotype" w:cs="Calibri"/>
                <w:b/>
                <w:bCs/>
                <w:color w:val="000000"/>
                <w:sz w:val="20"/>
                <w:szCs w:val="20"/>
                <w:lang w:val="en-IN" w:eastAsia="en-IN" w:bidi="hi-IN"/>
              </w:rPr>
              <w:t>)</w:t>
            </w:r>
          </w:p>
        </w:tc>
      </w:tr>
      <w:tr w:rsidR="0045638C" w:rsidRPr="00B83873" w:rsidTr="0045638C">
        <w:trPr>
          <w:trHeight w:val="300"/>
        </w:trPr>
        <w:tc>
          <w:tcPr>
            <w:tcW w:w="567" w:type="dxa"/>
            <w:tcBorders>
              <w:top w:val="single" w:sz="4" w:space="0" w:color="auto"/>
              <w:left w:val="single" w:sz="4" w:space="0" w:color="auto"/>
              <w:bottom w:val="single" w:sz="4" w:space="0" w:color="auto"/>
              <w:right w:val="single" w:sz="4" w:space="0" w:color="auto"/>
            </w:tcBorders>
          </w:tcPr>
          <w:p w:rsidR="0045638C" w:rsidRPr="008B3E9B" w:rsidRDefault="0045638C" w:rsidP="0045638C">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w:t>
            </w:r>
          </w:p>
        </w:tc>
        <w:tc>
          <w:tcPr>
            <w:tcW w:w="1276" w:type="dxa"/>
            <w:tcBorders>
              <w:top w:val="single" w:sz="4" w:space="0" w:color="auto"/>
              <w:bottom w:val="single" w:sz="4" w:space="0" w:color="auto"/>
              <w:right w:val="single" w:sz="4" w:space="0" w:color="auto"/>
            </w:tcBorders>
            <w:shd w:val="clear" w:color="auto" w:fill="auto"/>
            <w:noWrap/>
          </w:tcPr>
          <w:p w:rsidR="0045638C" w:rsidRPr="0045638C" w:rsidRDefault="0045638C" w:rsidP="0045638C">
            <w:pPr>
              <w:jc w:val="both"/>
              <w:rPr>
                <w:rFonts w:ascii="Palatino Linotype" w:hAnsi="Palatino Linotype"/>
                <w:sz w:val="22"/>
                <w:szCs w:val="22"/>
              </w:rPr>
            </w:pPr>
            <w:r w:rsidRPr="0045638C">
              <w:rPr>
                <w:rFonts w:ascii="Palatino Linotype" w:hAnsi="Palatino Linotype"/>
                <w:sz w:val="22"/>
                <w:szCs w:val="22"/>
              </w:rPr>
              <w:t>03/05/2021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45638C" w:rsidRPr="0045638C" w:rsidRDefault="0045638C" w:rsidP="0045638C">
            <w:pPr>
              <w:jc w:val="both"/>
              <w:rPr>
                <w:rFonts w:ascii="Palatino Linotype" w:hAnsi="Palatino Linotype"/>
                <w:sz w:val="22"/>
                <w:szCs w:val="22"/>
              </w:rPr>
            </w:pPr>
            <w:r w:rsidRPr="0045638C">
              <w:rPr>
                <w:rFonts w:ascii="Palatino Linotype" w:hAnsi="Palatino Linotype"/>
                <w:sz w:val="22"/>
                <w:szCs w:val="22"/>
              </w:rPr>
              <w:t>Aakruti Nirmiti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5638C" w:rsidRPr="0045638C" w:rsidRDefault="0045638C" w:rsidP="0045638C">
            <w:pPr>
              <w:jc w:val="both"/>
              <w:rPr>
                <w:rFonts w:ascii="Palatino Linotype" w:hAnsi="Palatino Linotype"/>
                <w:sz w:val="22"/>
                <w:szCs w:val="22"/>
              </w:rPr>
            </w:pPr>
            <w:r w:rsidRPr="0045638C">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45638C" w:rsidRPr="0045638C" w:rsidRDefault="0045638C" w:rsidP="0045638C">
            <w:pPr>
              <w:jc w:val="both"/>
              <w:rPr>
                <w:rFonts w:ascii="Palatino Linotype" w:hAnsi="Palatino Linotype"/>
                <w:sz w:val="22"/>
                <w:szCs w:val="22"/>
              </w:rPr>
            </w:pPr>
            <w:r w:rsidRPr="0045638C">
              <w:rPr>
                <w:rFonts w:ascii="Palatino Linotype" w:hAnsi="Palatino Linotype"/>
                <w:sz w:val="22"/>
                <w:szCs w:val="22"/>
              </w:rPr>
              <w:t xml:space="preserve">Aakruti Nirmiti Limited and 19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5638C" w:rsidRPr="0045638C" w:rsidRDefault="0045638C" w:rsidP="0045638C">
            <w:pPr>
              <w:rPr>
                <w:rFonts w:ascii="Palatino Linotype" w:hAnsi="Palatino Linotype"/>
                <w:sz w:val="22"/>
                <w:szCs w:val="22"/>
              </w:rPr>
            </w:pPr>
            <w:r w:rsidRPr="0045638C">
              <w:rPr>
                <w:rFonts w:ascii="Palatino Linotype" w:hAnsi="Palatino Linotype"/>
                <w:sz w:val="22"/>
                <w:szCs w:val="22"/>
              </w:rPr>
              <w:t>Sections 56(1), 56(3),  60, 73 read with Section 67 of the Companies Act, 1956 and Clauses 2.1.1, 2.1.4, 2.2, 4.11, 4.14, 5.3.1, 5.4.1, 5.6.2, 8.8.1, 5.6A and 6.0 to 6.15 of SEBI ((Disclosure and Investor Protection) Guidelines, 2000 </w:t>
            </w:r>
          </w:p>
          <w:p w:rsidR="0045638C" w:rsidRPr="0045638C" w:rsidRDefault="0045638C" w:rsidP="0045638C">
            <w:pPr>
              <w:shd w:val="clear" w:color="auto" w:fill="FFFFFF"/>
              <w:jc w:val="both"/>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5638C" w:rsidRPr="0045638C" w:rsidRDefault="0045638C" w:rsidP="0045638C">
            <w:pPr>
              <w:jc w:val="right"/>
              <w:rPr>
                <w:rFonts w:ascii="Palatino Linotype" w:hAnsi="Palatino Linotype"/>
                <w:sz w:val="22"/>
                <w:szCs w:val="22"/>
              </w:rPr>
            </w:pPr>
            <w:r w:rsidRPr="0045638C">
              <w:rPr>
                <w:rFonts w:ascii="Palatino Linotype" w:hAnsi="Palatino Linotype"/>
                <w:sz w:val="22"/>
                <w:szCs w:val="22"/>
              </w:rPr>
              <w:t>-</w:t>
            </w:r>
          </w:p>
        </w:tc>
      </w:tr>
      <w:tr w:rsidR="0045638C" w:rsidRPr="00B83873" w:rsidTr="002853A4">
        <w:trPr>
          <w:trHeight w:val="300"/>
        </w:trPr>
        <w:tc>
          <w:tcPr>
            <w:tcW w:w="567" w:type="dxa"/>
            <w:tcBorders>
              <w:top w:val="single" w:sz="4" w:space="0" w:color="auto"/>
              <w:left w:val="single" w:sz="4" w:space="0" w:color="auto"/>
              <w:bottom w:val="single" w:sz="4" w:space="0" w:color="auto"/>
              <w:right w:val="single" w:sz="4" w:space="0" w:color="auto"/>
            </w:tcBorders>
          </w:tcPr>
          <w:p w:rsidR="0045638C" w:rsidRPr="008B3E9B" w:rsidRDefault="0045638C" w:rsidP="0045638C">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w:t>
            </w:r>
          </w:p>
        </w:tc>
        <w:tc>
          <w:tcPr>
            <w:tcW w:w="1276" w:type="dxa"/>
            <w:tcBorders>
              <w:top w:val="single" w:sz="4" w:space="0" w:color="auto"/>
              <w:bottom w:val="single" w:sz="4" w:space="0" w:color="auto"/>
              <w:right w:val="single" w:sz="4" w:space="0" w:color="auto"/>
            </w:tcBorders>
            <w:shd w:val="clear" w:color="auto" w:fill="auto"/>
            <w:noWrap/>
          </w:tcPr>
          <w:p w:rsidR="0045638C" w:rsidRPr="0045638C" w:rsidRDefault="0045638C" w:rsidP="0045638C">
            <w:pPr>
              <w:jc w:val="both"/>
              <w:rPr>
                <w:rFonts w:ascii="Palatino Linotype" w:hAnsi="Palatino Linotype"/>
                <w:sz w:val="22"/>
                <w:szCs w:val="22"/>
              </w:rPr>
            </w:pPr>
            <w:r w:rsidRPr="0045638C">
              <w:rPr>
                <w:rFonts w:ascii="Palatino Linotype" w:hAnsi="Palatino Linotype"/>
                <w:sz w:val="22"/>
                <w:szCs w:val="22"/>
              </w:rPr>
              <w:t>05/05/2021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45638C" w:rsidRPr="0045638C" w:rsidRDefault="0045638C" w:rsidP="0045638C">
            <w:pPr>
              <w:jc w:val="both"/>
              <w:rPr>
                <w:rFonts w:ascii="Palatino Linotype" w:hAnsi="Palatino Linotype"/>
                <w:sz w:val="22"/>
                <w:szCs w:val="22"/>
              </w:rPr>
            </w:pPr>
            <w:r w:rsidRPr="0045638C">
              <w:rPr>
                <w:rFonts w:ascii="Palatino Linotype" w:hAnsi="Palatino Linotype"/>
                <w:sz w:val="22"/>
                <w:szCs w:val="22"/>
              </w:rPr>
              <w:t>Biocon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5638C" w:rsidRPr="0045638C" w:rsidRDefault="0045638C" w:rsidP="0045638C">
            <w:pPr>
              <w:jc w:val="both"/>
              <w:rPr>
                <w:rFonts w:ascii="Palatino Linotype" w:hAnsi="Palatino Linotype"/>
                <w:sz w:val="22"/>
                <w:szCs w:val="22"/>
              </w:rPr>
            </w:pPr>
            <w:r w:rsidRPr="0045638C">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45638C" w:rsidRPr="0045638C" w:rsidRDefault="0045638C" w:rsidP="0045638C">
            <w:pPr>
              <w:jc w:val="both"/>
              <w:rPr>
                <w:rFonts w:ascii="Palatino Linotype" w:hAnsi="Palatino Linotype"/>
                <w:sz w:val="22"/>
                <w:szCs w:val="22"/>
              </w:rPr>
            </w:pPr>
            <w:r w:rsidRPr="0045638C">
              <w:rPr>
                <w:rFonts w:ascii="Palatino Linotype" w:hAnsi="Palatino Linotype"/>
                <w:sz w:val="22"/>
                <w:szCs w:val="22"/>
              </w:rPr>
              <w:t xml:space="preserve">Gangwal Sunil Kumar, Vihit Investment, Mohd. Faisal, AKG Securities and Consultancy Ltd, Paramount Incorporation, Minesh Jormalbhai Mehta.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5638C" w:rsidRPr="0045638C" w:rsidRDefault="0045638C" w:rsidP="0045638C">
            <w:pPr>
              <w:shd w:val="clear" w:color="auto" w:fill="FFFFFF"/>
              <w:jc w:val="both"/>
              <w:rPr>
                <w:rFonts w:ascii="Palatino Linotype" w:hAnsi="Palatino Linotype"/>
                <w:sz w:val="22"/>
                <w:szCs w:val="22"/>
              </w:rPr>
            </w:pPr>
            <w:r w:rsidRPr="0045638C">
              <w:rPr>
                <w:rFonts w:ascii="Palatino Linotype" w:hAnsi="Palatino Linotype"/>
                <w:sz w:val="22"/>
                <w:szCs w:val="22"/>
              </w:rPr>
              <w:t xml:space="preserve">Section  12A (a)of SEBI Act 1992, Regulation 3 (b), 4(1), 4(2)(a), (e) &amp;(g) of PFUTP Regulations, 2003.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5638C" w:rsidRPr="0045638C" w:rsidRDefault="0045638C" w:rsidP="0045638C">
            <w:pPr>
              <w:jc w:val="right"/>
              <w:rPr>
                <w:rFonts w:ascii="Palatino Linotype" w:hAnsi="Palatino Linotype"/>
                <w:sz w:val="22"/>
                <w:szCs w:val="22"/>
              </w:rPr>
            </w:pPr>
            <w:r w:rsidRPr="0045638C">
              <w:rPr>
                <w:rFonts w:ascii="Palatino Linotype" w:hAnsi="Palatino Linotype"/>
                <w:sz w:val="22"/>
                <w:szCs w:val="22"/>
              </w:rPr>
              <w:t>60,00,000</w:t>
            </w:r>
          </w:p>
        </w:tc>
      </w:tr>
      <w:tr w:rsidR="002853A4" w:rsidRPr="00B83873" w:rsidTr="002853A4">
        <w:trPr>
          <w:trHeight w:val="300"/>
        </w:trPr>
        <w:tc>
          <w:tcPr>
            <w:tcW w:w="567" w:type="dxa"/>
            <w:tcBorders>
              <w:top w:val="single" w:sz="4" w:space="0" w:color="auto"/>
              <w:left w:val="single" w:sz="4" w:space="0" w:color="auto"/>
              <w:bottom w:val="single" w:sz="4" w:space="0" w:color="auto"/>
              <w:right w:val="single" w:sz="4" w:space="0" w:color="auto"/>
            </w:tcBorders>
          </w:tcPr>
          <w:p w:rsidR="002853A4" w:rsidRPr="008B3E9B" w:rsidRDefault="002853A4" w:rsidP="002853A4">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w:t>
            </w:r>
          </w:p>
        </w:tc>
        <w:tc>
          <w:tcPr>
            <w:tcW w:w="1276" w:type="dxa"/>
            <w:tcBorders>
              <w:top w:val="single" w:sz="4" w:space="0" w:color="auto"/>
              <w:bottom w:val="single" w:sz="4" w:space="0" w:color="auto"/>
              <w:right w:val="single" w:sz="4" w:space="0" w:color="auto"/>
            </w:tcBorders>
            <w:shd w:val="clear" w:color="auto" w:fill="auto"/>
            <w:noWrap/>
          </w:tcPr>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t>11/05/2021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t>Max Capital Proprietor – Mahesh Tillore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t>Max Capital Proprietor – Mahesh Tillore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53A4" w:rsidRPr="00D222C1" w:rsidRDefault="002853A4" w:rsidP="002853A4">
            <w:pPr>
              <w:rPr>
                <w:rFonts w:ascii="Palatino Linotype" w:hAnsi="Palatino Linotype" w:cs="Arial"/>
                <w:sz w:val="22"/>
                <w:szCs w:val="22"/>
                <w:lang w:eastAsia="en-IN" w:bidi="hi-IN"/>
              </w:rPr>
            </w:pPr>
            <w:r w:rsidRPr="00D222C1">
              <w:rPr>
                <w:rFonts w:ascii="Palatino Linotype" w:hAnsi="Palatino Linotype" w:cs="Arial"/>
                <w:sz w:val="22"/>
                <w:szCs w:val="22"/>
                <w:lang w:eastAsia="en-IN" w:bidi="hi-IN"/>
              </w:rPr>
              <w:t xml:space="preserve">Section 12(1) of SEBI Act, 1992 read with Regulation 3(1) of the </w:t>
            </w:r>
            <w:r>
              <w:rPr>
                <w:rFonts w:ascii="Palatino Linotype" w:hAnsi="Palatino Linotype" w:cs="Arial"/>
                <w:sz w:val="22"/>
                <w:szCs w:val="22"/>
                <w:lang w:eastAsia="en-IN" w:bidi="hi-IN"/>
              </w:rPr>
              <w:t xml:space="preserve">SEBI (Investment </w:t>
            </w:r>
            <w:r w:rsidRPr="00D222C1">
              <w:rPr>
                <w:rFonts w:ascii="Palatino Linotype" w:hAnsi="Palatino Linotype" w:cs="Arial"/>
                <w:sz w:val="22"/>
                <w:szCs w:val="22"/>
                <w:lang w:eastAsia="en-IN" w:bidi="hi-IN"/>
              </w:rPr>
              <w:t>A</w:t>
            </w:r>
            <w:r>
              <w:rPr>
                <w:rFonts w:ascii="Palatino Linotype" w:hAnsi="Palatino Linotype" w:cs="Arial"/>
                <w:sz w:val="22"/>
                <w:szCs w:val="22"/>
                <w:lang w:eastAsia="en-IN" w:bidi="hi-IN"/>
              </w:rPr>
              <w:t>dvisers)</w:t>
            </w:r>
            <w:r w:rsidRPr="00D222C1">
              <w:rPr>
                <w:rFonts w:ascii="Palatino Linotype" w:hAnsi="Palatino Linotype" w:cs="Arial"/>
                <w:sz w:val="22"/>
                <w:szCs w:val="22"/>
                <w:lang w:eastAsia="en-IN" w:bidi="hi-IN"/>
              </w:rPr>
              <w:t xml:space="preserve"> Regulations, 2013</w:t>
            </w:r>
          </w:p>
          <w:p w:rsidR="002853A4" w:rsidRPr="00D222C1" w:rsidRDefault="002853A4" w:rsidP="002853A4">
            <w:pPr>
              <w:shd w:val="clear" w:color="auto" w:fill="FFFFFF"/>
              <w:jc w:val="both"/>
              <w:rPr>
                <w:rFonts w:ascii="Palatino Linotype" w:hAnsi="Palatino Linotype"/>
                <w:sz w:val="22"/>
                <w:szCs w:val="22"/>
              </w:rPr>
            </w:pPr>
            <w:r w:rsidRPr="00D222C1">
              <w:rPr>
                <w:rFonts w:ascii="Palatino Linotype" w:hAnsi="Palatino Linotype"/>
                <w:sz w:val="22"/>
                <w:szCs w:val="22"/>
              </w:rPr>
              <w:t>Section 12A  (c)  of SEBI Act,  1992 and Regulations 3(d), 4(1) and 4(2)(k)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2853A4" w:rsidRPr="00D222C1" w:rsidRDefault="002853A4" w:rsidP="002853A4">
            <w:pPr>
              <w:jc w:val="right"/>
              <w:rPr>
                <w:rFonts w:ascii="Palatino Linotype" w:hAnsi="Palatino Linotype"/>
                <w:sz w:val="22"/>
                <w:szCs w:val="22"/>
              </w:rPr>
            </w:pPr>
            <w:r w:rsidRPr="00D222C1">
              <w:rPr>
                <w:rFonts w:ascii="Palatino Linotype" w:hAnsi="Palatino Linotype"/>
                <w:sz w:val="22"/>
                <w:szCs w:val="22"/>
              </w:rPr>
              <w:t>-</w:t>
            </w:r>
          </w:p>
        </w:tc>
      </w:tr>
      <w:tr w:rsidR="002853A4"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2853A4" w:rsidRPr="008B3E9B" w:rsidRDefault="002853A4" w:rsidP="002853A4">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w:t>
            </w:r>
          </w:p>
        </w:tc>
        <w:tc>
          <w:tcPr>
            <w:tcW w:w="1276" w:type="dxa"/>
            <w:tcBorders>
              <w:top w:val="single" w:sz="4" w:space="0" w:color="auto"/>
              <w:bottom w:val="single" w:sz="4" w:space="0" w:color="auto"/>
              <w:right w:val="single" w:sz="4" w:space="0" w:color="auto"/>
            </w:tcBorders>
            <w:shd w:val="clear" w:color="auto" w:fill="auto"/>
            <w:noWrap/>
          </w:tcPr>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t>11/05/2021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t>PC Jeweller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t>Shivani Gupta, QDPL</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53A4" w:rsidRPr="00D222C1" w:rsidRDefault="002853A4" w:rsidP="002853A4">
            <w:pPr>
              <w:shd w:val="clear" w:color="auto" w:fill="FFFFFF"/>
              <w:jc w:val="both"/>
              <w:rPr>
                <w:rFonts w:ascii="Palatino Linotype" w:hAnsi="Palatino Linotype"/>
                <w:sz w:val="22"/>
                <w:szCs w:val="22"/>
              </w:rPr>
            </w:pPr>
            <w:r w:rsidRPr="00D222C1">
              <w:rPr>
                <w:rFonts w:ascii="Palatino Linotype" w:hAnsi="Palatino Linotype"/>
                <w:sz w:val="22"/>
                <w:szCs w:val="22"/>
              </w:rPr>
              <w:t xml:space="preserve">Regulation 3(1) and 4(1) of SEBI (Prohibition of Insider Trading) </w:t>
            </w:r>
            <w:r w:rsidRPr="00D222C1">
              <w:rPr>
                <w:rFonts w:ascii="Palatino Linotype" w:hAnsi="Palatino Linotype"/>
                <w:sz w:val="22"/>
                <w:szCs w:val="22"/>
              </w:rPr>
              <w:lastRenderedPageBreak/>
              <w:t>Regulations, 2015. Section 12A (d),(e) of SEBI Act,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lastRenderedPageBreak/>
              <w:t>Penalty – Rs 1 Crore</w:t>
            </w:r>
          </w:p>
          <w:p w:rsidR="002853A4" w:rsidRPr="00D222C1" w:rsidRDefault="002853A4" w:rsidP="002853A4">
            <w:pPr>
              <w:jc w:val="both"/>
              <w:rPr>
                <w:rFonts w:ascii="Palatino Linotype" w:hAnsi="Palatino Linotype"/>
                <w:sz w:val="22"/>
                <w:szCs w:val="22"/>
              </w:rPr>
            </w:pPr>
            <w:r w:rsidRPr="00D222C1">
              <w:rPr>
                <w:rFonts w:ascii="Palatino Linotype" w:hAnsi="Palatino Linotype"/>
                <w:sz w:val="22"/>
                <w:szCs w:val="22"/>
              </w:rPr>
              <w:lastRenderedPageBreak/>
              <w:t>Disgorgement –Rs. 8,30,83,345.77</w:t>
            </w:r>
          </w:p>
          <w:p w:rsidR="002853A4" w:rsidRPr="00D222C1" w:rsidRDefault="002853A4" w:rsidP="002853A4">
            <w:pPr>
              <w:jc w:val="right"/>
              <w:rPr>
                <w:rFonts w:ascii="Palatino Linotype" w:hAnsi="Palatino Linotype"/>
                <w:sz w:val="22"/>
                <w:szCs w:val="22"/>
              </w:rPr>
            </w:pPr>
            <w:r w:rsidRPr="00D222C1">
              <w:rPr>
                <w:rFonts w:ascii="Palatino Linotype" w:hAnsi="Palatino Linotype"/>
                <w:sz w:val="22"/>
                <w:szCs w:val="22"/>
              </w:rPr>
              <w:t xml:space="preserve"> </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5</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ALGO Solution (Proprietor: Shri Piyush Porwal)</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ALGO Solution (Proprietor: Shri Piyush Porwal)</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shd w:val="clear" w:color="auto" w:fill="FFFFFF"/>
              <w:jc w:val="both"/>
              <w:rPr>
                <w:rFonts w:ascii="Palatino Linotype" w:hAnsi="Palatino Linotype"/>
                <w:sz w:val="22"/>
                <w:szCs w:val="22"/>
              </w:rPr>
            </w:pPr>
            <w:r w:rsidRPr="003F6B61">
              <w:rPr>
                <w:rFonts w:ascii="Palatino Linotype" w:hAnsi="Palatino Linotype"/>
                <w:sz w:val="22"/>
                <w:szCs w:val="22"/>
              </w:rPr>
              <w:t>Section 12A (c) of SEBI Act, 1992, Regulations 3(d), 4(1) and 4(2)(k)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right"/>
              <w:rPr>
                <w:rFonts w:ascii="Palatino Linotype" w:hAnsi="Palatino Linotype"/>
                <w:sz w:val="22"/>
                <w:szCs w:val="22"/>
              </w:rPr>
            </w:pPr>
            <w:r w:rsidRPr="003F6B61">
              <w:rPr>
                <w:rFonts w:ascii="Palatino Linotype" w:hAnsi="Palatino Linotype"/>
                <w:sz w:val="22"/>
                <w:szCs w:val="22"/>
              </w:rPr>
              <w:t>-</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6</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Investmart (Proprietor: Mr. Anshuman Bhise)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Investmart (Proprietor: Mr. Anshuman Bhise)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F6B61" w:rsidRPr="003F6B61" w:rsidRDefault="003F6B61" w:rsidP="003F6B61">
            <w:pPr>
              <w:shd w:val="clear" w:color="auto" w:fill="FFFFFF"/>
              <w:jc w:val="both"/>
              <w:rPr>
                <w:rFonts w:ascii="Palatino Linotype" w:hAnsi="Palatino Linotype"/>
                <w:sz w:val="22"/>
                <w:szCs w:val="22"/>
              </w:rPr>
            </w:pPr>
            <w:r w:rsidRPr="003F6B61">
              <w:rPr>
                <w:rFonts w:ascii="Palatino Linotype" w:hAnsi="Palatino Linotype"/>
                <w:sz w:val="22"/>
                <w:szCs w:val="22"/>
              </w:rPr>
              <w:t>Section 12A (c) of SEBI Act, 1992 and Regulation 2(1)(c) 3(d), 4(1) and 4(2)(k)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right"/>
              <w:rPr>
                <w:rFonts w:ascii="Palatino Linotype" w:hAnsi="Palatino Linotype"/>
                <w:sz w:val="22"/>
                <w:szCs w:val="22"/>
              </w:rPr>
            </w:pPr>
            <w:r w:rsidRPr="003F6B61">
              <w:rPr>
                <w:rFonts w:ascii="Palatino Linotype" w:hAnsi="Palatino Linotype"/>
                <w:sz w:val="22"/>
                <w:szCs w:val="22"/>
              </w:rPr>
              <w:t>-</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7</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20/05/2021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Crayon Capital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Crayon Capital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F6B61" w:rsidRPr="003F6B61" w:rsidRDefault="003F6B61" w:rsidP="003F6B61">
            <w:pPr>
              <w:shd w:val="clear" w:color="auto" w:fill="FFFFFF"/>
              <w:jc w:val="both"/>
              <w:rPr>
                <w:rFonts w:ascii="Palatino Linotype" w:hAnsi="Palatino Linotype"/>
                <w:sz w:val="22"/>
                <w:szCs w:val="22"/>
              </w:rPr>
            </w:pPr>
            <w:r w:rsidRPr="003F6B61">
              <w:rPr>
                <w:rFonts w:ascii="Palatino Linotype" w:hAnsi="Palatino Linotype"/>
                <w:sz w:val="22"/>
                <w:szCs w:val="22"/>
              </w:rPr>
              <w:t xml:space="preserve">Regulation 2(1)(cc)  of  CIS Regulations and Section 2(h) of SCRA 1956.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right"/>
              <w:rPr>
                <w:rFonts w:ascii="Palatino Linotype" w:hAnsi="Palatino Linotype"/>
                <w:sz w:val="22"/>
                <w:szCs w:val="22"/>
              </w:rPr>
            </w:pPr>
            <w:r w:rsidRPr="003F6B61">
              <w:rPr>
                <w:rFonts w:ascii="Palatino Linotype" w:hAnsi="Palatino Linotype"/>
                <w:sz w:val="22"/>
                <w:szCs w:val="22"/>
              </w:rPr>
              <w:t>-</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8</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Tata Finance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MSS Securities Private Limited (Formerly known as “Malini Sanghvi Securities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F6B61" w:rsidRPr="003F6B61" w:rsidRDefault="003F6B61" w:rsidP="003F6B61">
            <w:pPr>
              <w:shd w:val="clear" w:color="auto" w:fill="FFFFFF"/>
              <w:jc w:val="both"/>
              <w:rPr>
                <w:rFonts w:ascii="Palatino Linotype" w:hAnsi="Palatino Linotype"/>
                <w:sz w:val="22"/>
                <w:szCs w:val="22"/>
              </w:rPr>
            </w:pPr>
            <w:r w:rsidRPr="003F6B61">
              <w:rPr>
                <w:rFonts w:ascii="Palatino Linotype" w:hAnsi="Palatino Linotype"/>
                <w:sz w:val="22"/>
                <w:szCs w:val="22"/>
              </w:rPr>
              <w:t>SEBI dated  October  29,  1993,read  with  Regulation  17(1)(j)  of  Broker Regulations and Regulation 27(5)read with Regulation 38 of SEBI (Intermediaries) Regulations, 2008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9</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24/05/2021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Anita Shyam Mhatre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Anita Shyam Mhatre, Sanjay Parekh, Rakesh Shah</w:t>
            </w:r>
          </w:p>
        </w:tc>
        <w:tc>
          <w:tcPr>
            <w:tcW w:w="2268" w:type="dxa"/>
            <w:tcBorders>
              <w:top w:val="single" w:sz="4" w:space="0" w:color="auto"/>
              <w:left w:val="single" w:sz="4" w:space="0" w:color="auto"/>
              <w:bottom w:val="single" w:sz="4" w:space="0" w:color="auto"/>
            </w:tcBorders>
            <w:shd w:val="clear" w:color="auto" w:fill="auto"/>
          </w:tcPr>
          <w:p w:rsidR="003F6B61" w:rsidRPr="003F6B61" w:rsidRDefault="003F6B61" w:rsidP="003F6B61">
            <w:pPr>
              <w:shd w:val="clear" w:color="auto" w:fill="FFFFFF"/>
              <w:jc w:val="both"/>
              <w:rPr>
                <w:rFonts w:ascii="Palatino Linotype" w:hAnsi="Palatino Linotype"/>
                <w:sz w:val="22"/>
                <w:szCs w:val="22"/>
              </w:rPr>
            </w:pPr>
            <w:r w:rsidRPr="003F6B61">
              <w:rPr>
                <w:rFonts w:ascii="Palatino Linotype" w:hAnsi="Palatino Linotype"/>
                <w:sz w:val="22"/>
                <w:szCs w:val="22"/>
              </w:rPr>
              <w:t>Section  12A (a),  (b),  (c) of  SEBI  Act,  1992  and  Regulation  3  (a),  (b),  (c)  and  (d)  and  4  (1)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8B3E9B" w:rsidRDefault="003F6B61" w:rsidP="003F6B61">
            <w:pPr>
              <w:jc w:val="right"/>
              <w:rPr>
                <w:rFonts w:ascii="Palatino Linotype" w:hAnsi="Palatino Linotype"/>
                <w:sz w:val="22"/>
                <w:szCs w:val="22"/>
              </w:rPr>
            </w:pPr>
            <w:r w:rsidRPr="008B3E9B">
              <w:rPr>
                <w:rFonts w:ascii="Palatino Linotype" w:hAnsi="Palatino Linotype"/>
                <w:sz w:val="22"/>
                <w:szCs w:val="22"/>
              </w:rPr>
              <w:t>14,00,000</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10</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24/05/2021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Le Waterina Resorts and Hotels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 xml:space="preserve">Sanjay Jalan, Anila Jalan, Rinku Jalan </w:t>
            </w:r>
          </w:p>
        </w:tc>
        <w:tc>
          <w:tcPr>
            <w:tcW w:w="2268" w:type="dxa"/>
            <w:tcBorders>
              <w:top w:val="single" w:sz="4" w:space="0" w:color="auto"/>
              <w:left w:val="single" w:sz="4" w:space="0" w:color="auto"/>
              <w:bottom w:val="single" w:sz="4" w:space="0" w:color="auto"/>
            </w:tcBorders>
            <w:shd w:val="clear" w:color="auto" w:fill="auto"/>
          </w:tcPr>
          <w:p w:rsidR="003F6B61" w:rsidRPr="003F6B61" w:rsidRDefault="003F6B61" w:rsidP="003F6B61">
            <w:pPr>
              <w:shd w:val="clear" w:color="auto" w:fill="FFFFFF"/>
              <w:jc w:val="both"/>
              <w:rPr>
                <w:rFonts w:ascii="Palatino Linotype" w:hAnsi="Palatino Linotype"/>
                <w:sz w:val="22"/>
                <w:szCs w:val="22"/>
              </w:rPr>
            </w:pPr>
            <w:r w:rsidRPr="003F6B61">
              <w:rPr>
                <w:rFonts w:ascii="Palatino Linotype" w:hAnsi="Palatino Linotype"/>
                <w:sz w:val="22"/>
                <w:szCs w:val="22"/>
              </w:rPr>
              <w:t>Section 12A (a), (b) and (c) of the SEBI Act, 1992 read withregulation 3(a), (b), (c), (d) and regulation 4 (1), 4 (2) (a), (d) (g)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8B3E9B" w:rsidRDefault="003F6B61" w:rsidP="003F6B61">
            <w:pPr>
              <w:jc w:val="right"/>
              <w:rPr>
                <w:rFonts w:ascii="Palatino Linotype" w:hAnsi="Palatino Linotype"/>
                <w:sz w:val="22"/>
                <w:szCs w:val="22"/>
              </w:rPr>
            </w:pPr>
            <w:r w:rsidRPr="008B3E9B">
              <w:rPr>
                <w:rFonts w:ascii="Palatino Linotype" w:hAnsi="Palatino Linotype"/>
                <w:sz w:val="22"/>
                <w:szCs w:val="22"/>
              </w:rPr>
              <w:t>1,00,000</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11</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24/05/2021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Tree House Education and Accessories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 xml:space="preserve">Rajesh Bhatia, Geeta Bhatia, </w:t>
            </w:r>
          </w:p>
        </w:tc>
        <w:tc>
          <w:tcPr>
            <w:tcW w:w="2268" w:type="dxa"/>
            <w:tcBorders>
              <w:top w:val="single" w:sz="4" w:space="0" w:color="auto"/>
              <w:left w:val="single" w:sz="4" w:space="0" w:color="auto"/>
              <w:bottom w:val="single" w:sz="4" w:space="0" w:color="auto"/>
            </w:tcBorders>
            <w:shd w:val="clear" w:color="auto" w:fill="auto"/>
          </w:tcPr>
          <w:p w:rsidR="003F6B61" w:rsidRPr="003F6B61" w:rsidRDefault="003F6B61" w:rsidP="003F6B61">
            <w:pPr>
              <w:shd w:val="clear" w:color="auto" w:fill="FFFFFF"/>
              <w:jc w:val="both"/>
              <w:rPr>
                <w:rFonts w:ascii="Palatino Linotype" w:hAnsi="Palatino Linotype"/>
                <w:sz w:val="22"/>
                <w:szCs w:val="22"/>
              </w:rPr>
            </w:pPr>
            <w:r w:rsidRPr="003F6B61">
              <w:rPr>
                <w:rFonts w:ascii="Palatino Linotype" w:hAnsi="Palatino Linotype"/>
                <w:sz w:val="22"/>
                <w:szCs w:val="22"/>
              </w:rPr>
              <w:t>Regulations 3(1) and 4(1)   of   SEBI (PIT)    Regulations, 2015 and   Section 12A (d) &amp; (e) of the SEBI Act, 1992. Clause 6    of    the Minimum Standards  for  Code of Conduct to Regulate,    Monitor and  Report  Trading by Insiders specified in  Schedule  B  read with  regulation  9(1) of SEBI (PIT)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8B3E9B" w:rsidRDefault="003F6B61" w:rsidP="003F6B61">
            <w:pPr>
              <w:jc w:val="right"/>
              <w:rPr>
                <w:rFonts w:ascii="Palatino Linotype" w:hAnsi="Palatino Linotype"/>
                <w:sz w:val="22"/>
                <w:szCs w:val="22"/>
              </w:rPr>
            </w:pPr>
            <w:r w:rsidRPr="008B3E9B">
              <w:rPr>
                <w:rFonts w:ascii="Palatino Linotype" w:hAnsi="Palatino Linotype"/>
                <w:sz w:val="22"/>
                <w:szCs w:val="22"/>
              </w:rPr>
              <w:t>1,00,000</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12</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24/05/2021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Tara Jewels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 xml:space="preserve">Rajeev Vasant Sheth, Aarti Sheth, Divya Sheth. </w:t>
            </w:r>
          </w:p>
        </w:tc>
        <w:tc>
          <w:tcPr>
            <w:tcW w:w="2268" w:type="dxa"/>
            <w:tcBorders>
              <w:top w:val="single" w:sz="4" w:space="0" w:color="auto"/>
              <w:left w:val="single" w:sz="4" w:space="0" w:color="auto"/>
              <w:bottom w:val="single" w:sz="4" w:space="0" w:color="auto"/>
            </w:tcBorders>
            <w:shd w:val="clear" w:color="auto" w:fill="auto"/>
          </w:tcPr>
          <w:p w:rsidR="003F6B61" w:rsidRPr="003F6B61" w:rsidRDefault="003F6B61" w:rsidP="003F6B61">
            <w:pPr>
              <w:shd w:val="clear" w:color="auto" w:fill="FFFFFF"/>
              <w:jc w:val="both"/>
              <w:rPr>
                <w:rFonts w:ascii="Palatino Linotype" w:hAnsi="Palatino Linotype"/>
                <w:sz w:val="22"/>
                <w:szCs w:val="22"/>
              </w:rPr>
            </w:pPr>
            <w:r w:rsidRPr="003F6B61">
              <w:rPr>
                <w:rFonts w:ascii="Palatino Linotype" w:hAnsi="Palatino Linotype"/>
                <w:sz w:val="22"/>
                <w:szCs w:val="22"/>
              </w:rPr>
              <w:t xml:space="preserve">Regulation  3(1)  and  4(1)  of PIT  Regulations  and  Section 12A(d) &amp; (e) of the SEBI Act. Clause   6   of   the   Minimum Standards for Code of Conduct to Regulate, Monitor  and  Report  Trading by     Insiders     specified     in Schedule B read with regulation 9(1) of PIT Regulations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8B3E9B" w:rsidRDefault="003F6B61" w:rsidP="003F6B61">
            <w:pPr>
              <w:jc w:val="right"/>
              <w:rPr>
                <w:rFonts w:ascii="Palatino Linotype" w:hAnsi="Palatino Linotype"/>
                <w:sz w:val="22"/>
                <w:szCs w:val="22"/>
              </w:rPr>
            </w:pPr>
            <w:r w:rsidRPr="008B3E9B">
              <w:rPr>
                <w:rFonts w:ascii="Palatino Linotype" w:hAnsi="Palatino Linotype"/>
                <w:sz w:val="22"/>
                <w:szCs w:val="22"/>
              </w:rPr>
              <w:t>1,00,000</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13</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BRD Securities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 xml:space="preserve">BRD Securities Limited and 9 others </w:t>
            </w:r>
          </w:p>
        </w:tc>
        <w:tc>
          <w:tcPr>
            <w:tcW w:w="2268" w:type="dxa"/>
            <w:tcBorders>
              <w:top w:val="single" w:sz="4" w:space="0" w:color="auto"/>
              <w:left w:val="single" w:sz="4" w:space="0" w:color="auto"/>
              <w:bottom w:val="single" w:sz="4" w:space="0" w:color="auto"/>
            </w:tcBorders>
            <w:shd w:val="clear" w:color="auto" w:fill="auto"/>
          </w:tcPr>
          <w:p w:rsidR="003F6B61" w:rsidRPr="003F6B61" w:rsidRDefault="003F6B61" w:rsidP="003F6B61">
            <w:pPr>
              <w:shd w:val="clear" w:color="auto" w:fill="FFFFFF"/>
              <w:jc w:val="both"/>
              <w:rPr>
                <w:rFonts w:ascii="Palatino Linotype" w:hAnsi="Palatino Linotype"/>
                <w:sz w:val="22"/>
                <w:szCs w:val="22"/>
              </w:rPr>
            </w:pPr>
            <w:r w:rsidRPr="003F6B61">
              <w:rPr>
                <w:rFonts w:ascii="Palatino Linotype" w:hAnsi="Palatino Linotype"/>
                <w:sz w:val="22"/>
                <w:szCs w:val="22"/>
              </w:rPr>
              <w:t xml:space="preserve">  Regulations 4(2)(d), 4(2)(e), 5 (1), (2), (5), &amp; (7), 6 (1), 7, 26 (1), (2) &amp; (6), 32 (1), 36, 37,46 (1), 47 (1), 49 (1), 57 (1), 58 (1) &amp; (2)and 63of of the SEBI (Issue of Capital and  Disclosure  Requirements) Regulations 2009, read with ICDR Regulations, 2018,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8B3E9B" w:rsidRDefault="003F6B61" w:rsidP="003F6B61">
            <w:pPr>
              <w:jc w:val="right"/>
              <w:rPr>
                <w:rFonts w:ascii="Palatino Linotype" w:hAnsi="Palatino Linotype"/>
                <w:sz w:val="22"/>
                <w:szCs w:val="22"/>
              </w:rPr>
            </w:pPr>
            <w:r w:rsidRPr="008B3E9B">
              <w:rPr>
                <w:rFonts w:ascii="Palatino Linotype" w:hAnsi="Palatino Linotype"/>
                <w:sz w:val="22"/>
                <w:szCs w:val="22"/>
              </w:rPr>
              <w:t>50,00,000</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14</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Trading in the scrip of ECE Industries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rPr>
                <w:rFonts w:ascii="Palatino Linotype" w:hAnsi="Palatino Linotype"/>
                <w:sz w:val="22"/>
                <w:szCs w:val="22"/>
              </w:rPr>
            </w:pPr>
            <w:r w:rsidRPr="003F6B61">
              <w:rPr>
                <w:rFonts w:ascii="Palatino Linotype" w:hAnsi="Palatino Linotype"/>
                <w:sz w:val="22"/>
                <w:szCs w:val="22"/>
              </w:rPr>
              <w:t xml:space="preserve">Bhiragacha Finance Company Pvt. Ltd and 9 others </w:t>
            </w:r>
          </w:p>
        </w:tc>
        <w:tc>
          <w:tcPr>
            <w:tcW w:w="2268" w:type="dxa"/>
            <w:tcBorders>
              <w:top w:val="single" w:sz="4" w:space="0" w:color="auto"/>
              <w:left w:val="single" w:sz="4" w:space="0" w:color="auto"/>
              <w:bottom w:val="single" w:sz="4" w:space="0" w:color="auto"/>
            </w:tcBorders>
            <w:shd w:val="clear" w:color="auto" w:fill="auto"/>
          </w:tcPr>
          <w:p w:rsidR="003F6B61" w:rsidRPr="003F6B61" w:rsidRDefault="003F6B61" w:rsidP="003F6B61">
            <w:pPr>
              <w:rPr>
                <w:rFonts w:ascii="Palatino Linotype" w:hAnsi="Palatino Linotype"/>
                <w:sz w:val="22"/>
                <w:szCs w:val="22"/>
              </w:rPr>
            </w:pPr>
            <w:r w:rsidRPr="003F6B61">
              <w:rPr>
                <w:rFonts w:ascii="Palatino Linotype" w:hAnsi="Palatino Linotype"/>
                <w:sz w:val="22"/>
                <w:szCs w:val="22"/>
              </w:rPr>
              <w:t>sections 12A (a), (b) and (c) of the SEBI Act, 1992 read with regulations 3 (b),(c),(d), 4(1) &amp; 4(2)(d) of the PFUTP Regulations, 2003 and regulations 4(5) (a), (b), (c) of the SEBI (Delisting of Equity Shares) Regulations, 2009</w:t>
            </w:r>
          </w:p>
          <w:p w:rsidR="003F6B61" w:rsidRPr="003F6B61" w:rsidRDefault="003F6B61" w:rsidP="003F6B61">
            <w:pPr>
              <w:shd w:val="clear" w:color="auto" w:fill="FFFFFF"/>
              <w:jc w:val="both"/>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8B3E9B" w:rsidRDefault="003F6B61" w:rsidP="003F6B61">
            <w:pPr>
              <w:jc w:val="right"/>
              <w:rPr>
                <w:rFonts w:ascii="Palatino Linotype" w:hAnsi="Palatino Linotype"/>
                <w:sz w:val="22"/>
                <w:szCs w:val="22"/>
              </w:rPr>
            </w:pPr>
            <w:r w:rsidRPr="008B3E9B">
              <w:rPr>
                <w:rFonts w:ascii="Palatino Linotype" w:hAnsi="Palatino Linotype"/>
                <w:sz w:val="22"/>
                <w:szCs w:val="22"/>
              </w:rPr>
              <w:t>75,00,000</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15</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Tatia Global Vennture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 xml:space="preserve">Tatia  Global  Vennture Limited  and 7 others </w:t>
            </w:r>
          </w:p>
        </w:tc>
        <w:tc>
          <w:tcPr>
            <w:tcW w:w="2268" w:type="dxa"/>
            <w:tcBorders>
              <w:top w:val="single" w:sz="4" w:space="0" w:color="auto"/>
              <w:left w:val="single" w:sz="4" w:space="0" w:color="auto"/>
              <w:bottom w:val="single" w:sz="4" w:space="0" w:color="auto"/>
            </w:tcBorders>
            <w:shd w:val="clear" w:color="auto" w:fill="auto"/>
          </w:tcPr>
          <w:p w:rsidR="003F6B61" w:rsidRPr="003F6B61" w:rsidRDefault="003F6B61" w:rsidP="003F6B61">
            <w:pPr>
              <w:shd w:val="clear" w:color="auto" w:fill="FFFFFF"/>
              <w:rPr>
                <w:rFonts w:ascii="Palatino Linotype" w:hAnsi="Palatino Linotype"/>
                <w:sz w:val="22"/>
                <w:szCs w:val="22"/>
              </w:rPr>
            </w:pPr>
            <w:r w:rsidRPr="003F6B61">
              <w:rPr>
                <w:rFonts w:ascii="Palatino Linotype" w:hAnsi="Palatino Linotype"/>
                <w:sz w:val="22"/>
                <w:szCs w:val="22"/>
              </w:rPr>
              <w:t xml:space="preserve">Section 12A(a), (b) &amp; (c) of SEBI Act, 1992 </w:t>
            </w:r>
          </w:p>
          <w:p w:rsidR="003F6B61" w:rsidRPr="003F6B61" w:rsidRDefault="003F6B61" w:rsidP="003F6B61">
            <w:pPr>
              <w:shd w:val="clear" w:color="auto" w:fill="FFFFFF"/>
              <w:rPr>
                <w:rFonts w:ascii="Palatino Linotype" w:hAnsi="Palatino Linotype"/>
                <w:sz w:val="22"/>
                <w:szCs w:val="22"/>
              </w:rPr>
            </w:pPr>
          </w:p>
          <w:p w:rsidR="003F6B61" w:rsidRPr="003F6B61" w:rsidRDefault="003F6B61" w:rsidP="003F6B61">
            <w:pPr>
              <w:shd w:val="clear" w:color="auto" w:fill="FFFFFF"/>
              <w:rPr>
                <w:rFonts w:ascii="Palatino Linotype" w:hAnsi="Palatino Linotype"/>
                <w:sz w:val="22"/>
                <w:szCs w:val="22"/>
              </w:rPr>
            </w:pPr>
            <w:r w:rsidRPr="003F6B61">
              <w:rPr>
                <w:rFonts w:ascii="Palatino Linotype" w:hAnsi="Palatino Linotype"/>
                <w:sz w:val="22"/>
                <w:szCs w:val="22"/>
              </w:rPr>
              <w:t xml:space="preserve">Section 23E of SCRA, 1956.  </w:t>
            </w:r>
          </w:p>
          <w:p w:rsidR="003F6B61" w:rsidRPr="003F6B61" w:rsidRDefault="003F6B61" w:rsidP="003F6B61">
            <w:pPr>
              <w:shd w:val="clear" w:color="auto" w:fill="FFFFFF"/>
              <w:rPr>
                <w:rFonts w:ascii="Palatino Linotype" w:hAnsi="Palatino Linotype"/>
                <w:sz w:val="22"/>
                <w:szCs w:val="22"/>
              </w:rPr>
            </w:pPr>
          </w:p>
          <w:p w:rsidR="003F6B61" w:rsidRPr="003F6B61" w:rsidRDefault="003F6B61" w:rsidP="003F6B61">
            <w:pPr>
              <w:shd w:val="clear" w:color="auto" w:fill="FFFFFF"/>
              <w:rPr>
                <w:rFonts w:ascii="Palatino Linotype" w:hAnsi="Palatino Linotype"/>
                <w:sz w:val="22"/>
                <w:szCs w:val="22"/>
              </w:rPr>
            </w:pPr>
            <w:r w:rsidRPr="003F6B61">
              <w:rPr>
                <w:rFonts w:ascii="Palatino Linotype" w:hAnsi="Palatino Linotype"/>
                <w:sz w:val="22"/>
                <w:szCs w:val="22"/>
              </w:rPr>
              <w:t xml:space="preserve">Sections 11(2)(i), 11(2)(ia) of SEBI Act, 1992, </w:t>
            </w:r>
          </w:p>
          <w:p w:rsidR="003F6B61" w:rsidRPr="003F6B61" w:rsidRDefault="003F6B61" w:rsidP="003F6B61">
            <w:pPr>
              <w:shd w:val="clear" w:color="auto" w:fill="FFFFFF"/>
              <w:rPr>
                <w:rFonts w:ascii="Palatino Linotype" w:hAnsi="Palatino Linotype"/>
                <w:sz w:val="22"/>
                <w:szCs w:val="22"/>
              </w:rPr>
            </w:pPr>
          </w:p>
          <w:p w:rsidR="003F6B61" w:rsidRPr="003F6B61" w:rsidRDefault="003F6B61" w:rsidP="003F6B61">
            <w:pPr>
              <w:shd w:val="clear" w:color="auto" w:fill="FFFFFF"/>
              <w:rPr>
                <w:rFonts w:ascii="Palatino Linotype" w:hAnsi="Palatino Linotype"/>
                <w:sz w:val="22"/>
                <w:szCs w:val="22"/>
              </w:rPr>
            </w:pPr>
            <w:r w:rsidRPr="003F6B61">
              <w:rPr>
                <w:rFonts w:ascii="Palatino Linotype" w:hAnsi="Palatino Linotype"/>
                <w:sz w:val="22"/>
                <w:szCs w:val="22"/>
              </w:rPr>
              <w:t>Regulations 4(1) (a), (b), (c), (e) &amp; (g), 23(2), 24(3), 33, Clause B(2) of Schedule III read with Regulations 30 and 48, of LODR Regulations and Section  21  of  SCRA,1956.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8B3E9B" w:rsidRDefault="003F6B61" w:rsidP="003F6B61">
            <w:pPr>
              <w:jc w:val="right"/>
              <w:rPr>
                <w:rFonts w:ascii="Palatino Linotype" w:hAnsi="Palatino Linotype"/>
                <w:sz w:val="22"/>
                <w:szCs w:val="22"/>
              </w:rPr>
            </w:pPr>
            <w:r w:rsidRPr="008B3E9B">
              <w:rPr>
                <w:rFonts w:ascii="Palatino Linotype" w:hAnsi="Palatino Linotype"/>
                <w:sz w:val="22"/>
                <w:szCs w:val="22"/>
              </w:rPr>
              <w:t>50,00,000</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16</w:t>
            </w:r>
          </w:p>
        </w:tc>
        <w:tc>
          <w:tcPr>
            <w:tcW w:w="1276" w:type="dxa"/>
            <w:tcBorders>
              <w:top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Osian’s-Connoisseurs of Art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3F6B61" w:rsidRDefault="003F6B61" w:rsidP="003F6B61">
            <w:pPr>
              <w:jc w:val="both"/>
              <w:rPr>
                <w:rFonts w:ascii="Palatino Linotype" w:hAnsi="Palatino Linotype"/>
                <w:sz w:val="22"/>
                <w:szCs w:val="22"/>
              </w:rPr>
            </w:pPr>
            <w:r w:rsidRPr="003F6B61">
              <w:rPr>
                <w:rFonts w:ascii="Palatino Linotype" w:hAnsi="Palatino Linotype"/>
                <w:sz w:val="22"/>
                <w:szCs w:val="22"/>
              </w:rPr>
              <w:t>Osian’s-Connoisseurs of Art Private Limited</w:t>
            </w:r>
          </w:p>
        </w:tc>
        <w:tc>
          <w:tcPr>
            <w:tcW w:w="2268" w:type="dxa"/>
            <w:tcBorders>
              <w:top w:val="single" w:sz="4" w:space="0" w:color="auto"/>
              <w:left w:val="single" w:sz="4" w:space="0" w:color="auto"/>
              <w:bottom w:val="single" w:sz="4" w:space="0" w:color="auto"/>
            </w:tcBorders>
            <w:shd w:val="clear" w:color="auto" w:fill="auto"/>
          </w:tcPr>
          <w:p w:rsidR="003F6B61" w:rsidRPr="003F6B61" w:rsidRDefault="003F6B61" w:rsidP="003F6B61">
            <w:pPr>
              <w:shd w:val="clear" w:color="auto" w:fill="FFFFFF"/>
              <w:jc w:val="both"/>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8B3E9B" w:rsidRDefault="003F6B61" w:rsidP="003F6B61">
            <w:pPr>
              <w:jc w:val="right"/>
              <w:rPr>
                <w:rFonts w:ascii="Palatino Linotype" w:hAnsi="Palatino Linotype"/>
                <w:sz w:val="22"/>
                <w:szCs w:val="22"/>
              </w:rPr>
            </w:pPr>
            <w:r w:rsidRPr="008B3E9B">
              <w:rPr>
                <w:rFonts w:ascii="Palatino Linotype" w:hAnsi="Palatino Linotype"/>
                <w:sz w:val="22"/>
                <w:szCs w:val="22"/>
              </w:rPr>
              <w:t>2,00,000</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17</w:t>
            </w:r>
          </w:p>
        </w:tc>
        <w:tc>
          <w:tcPr>
            <w:tcW w:w="1276" w:type="dxa"/>
            <w:tcBorders>
              <w:top w:val="single" w:sz="4" w:space="0" w:color="auto"/>
              <w:bottom w:val="single" w:sz="4" w:space="0" w:color="auto"/>
              <w:right w:val="single" w:sz="4" w:space="0" w:color="auto"/>
            </w:tcBorders>
            <w:shd w:val="clear" w:color="auto" w:fill="auto"/>
            <w:noWrap/>
          </w:tcPr>
          <w:p w:rsidR="003F6B61" w:rsidRPr="00D11DAF" w:rsidRDefault="003F6B61" w:rsidP="003F6B61">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D11DAF" w:rsidRDefault="003F6B61" w:rsidP="003F6B61">
            <w:pPr>
              <w:jc w:val="both"/>
              <w:rPr>
                <w:rFonts w:ascii="Palatino Linotype" w:hAnsi="Palatino Linotype"/>
                <w:sz w:val="22"/>
                <w:szCs w:val="22"/>
              </w:rPr>
            </w:pPr>
            <w:r w:rsidRPr="00D11DAF">
              <w:rPr>
                <w:rFonts w:ascii="Palatino Linotype" w:hAnsi="Palatino Linotype"/>
                <w:sz w:val="22"/>
                <w:szCs w:val="22"/>
              </w:rPr>
              <w:t>Samco Securities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D11DAF" w:rsidRDefault="003F6B61" w:rsidP="003F6B61">
            <w:pPr>
              <w:jc w:val="both"/>
              <w:rPr>
                <w:rFonts w:ascii="Palatino Linotype" w:hAnsi="Palatino Linotype"/>
                <w:sz w:val="22"/>
                <w:szCs w:val="22"/>
              </w:rPr>
            </w:pPr>
            <w:r w:rsidRPr="00D11DAF">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D11DAF" w:rsidRDefault="003F6B61" w:rsidP="003F6B61">
            <w:pPr>
              <w:jc w:val="both"/>
              <w:rPr>
                <w:rFonts w:ascii="Palatino Linotype" w:hAnsi="Palatino Linotype"/>
                <w:sz w:val="22"/>
                <w:szCs w:val="22"/>
              </w:rPr>
            </w:pPr>
            <w:r w:rsidRPr="00D11DAF">
              <w:rPr>
                <w:rFonts w:ascii="Palatino Linotype" w:hAnsi="Palatino Linotype"/>
                <w:sz w:val="22"/>
                <w:szCs w:val="22"/>
              </w:rPr>
              <w:t>Samco Securities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F6B61" w:rsidRPr="00D11DAF" w:rsidRDefault="003F6B61" w:rsidP="003F6B61">
            <w:pPr>
              <w:shd w:val="clear" w:color="auto" w:fill="FFFFFF"/>
              <w:jc w:val="both"/>
              <w:rPr>
                <w:rFonts w:ascii="Palatino Linotype" w:hAnsi="Palatino Linotype"/>
                <w:sz w:val="22"/>
                <w:szCs w:val="22"/>
              </w:rPr>
            </w:pPr>
            <w:r w:rsidRPr="00D11DAF">
              <w:rPr>
                <w:rFonts w:ascii="Palatino Linotype" w:hAnsi="Palatino Linotype"/>
                <w:sz w:val="22"/>
                <w:szCs w:val="22"/>
              </w:rPr>
              <w:t>SEBI  Circular No.  SEBI/HO/MIRSD/MIRSD2/CIR/P/2016/95datedSeptember26,2016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D11DAF" w:rsidRDefault="003F6B61" w:rsidP="003F6B61">
            <w:pPr>
              <w:jc w:val="right"/>
              <w:rPr>
                <w:rFonts w:ascii="Palatino Linotype" w:hAnsi="Palatino Linotype"/>
                <w:sz w:val="22"/>
                <w:szCs w:val="22"/>
              </w:rPr>
            </w:pPr>
            <w:r w:rsidRPr="00D11DAF">
              <w:rPr>
                <w:rFonts w:ascii="Palatino Linotype" w:hAnsi="Palatino Linotype"/>
                <w:sz w:val="22"/>
                <w:szCs w:val="22"/>
              </w:rPr>
              <w:t>2,00,000</w:t>
            </w:r>
          </w:p>
        </w:tc>
      </w:tr>
      <w:tr w:rsidR="003F6B61" w:rsidRPr="00B83873" w:rsidTr="003F6B61">
        <w:trPr>
          <w:trHeight w:val="300"/>
        </w:trPr>
        <w:tc>
          <w:tcPr>
            <w:tcW w:w="567" w:type="dxa"/>
            <w:tcBorders>
              <w:top w:val="single" w:sz="4" w:space="0" w:color="auto"/>
              <w:left w:val="single" w:sz="4" w:space="0" w:color="auto"/>
              <w:bottom w:val="single" w:sz="4" w:space="0" w:color="auto"/>
              <w:right w:val="single" w:sz="4" w:space="0" w:color="auto"/>
            </w:tcBorders>
          </w:tcPr>
          <w:p w:rsidR="003F6B61" w:rsidRPr="008B3E9B" w:rsidRDefault="003F6B61" w:rsidP="003F6B61">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18</w:t>
            </w:r>
          </w:p>
        </w:tc>
        <w:tc>
          <w:tcPr>
            <w:tcW w:w="1276" w:type="dxa"/>
            <w:tcBorders>
              <w:top w:val="single" w:sz="4" w:space="0" w:color="auto"/>
              <w:bottom w:val="single" w:sz="4" w:space="0" w:color="auto"/>
              <w:right w:val="single" w:sz="4" w:space="0" w:color="auto"/>
            </w:tcBorders>
            <w:shd w:val="clear" w:color="auto" w:fill="auto"/>
            <w:noWrap/>
          </w:tcPr>
          <w:p w:rsidR="003F6B61" w:rsidRPr="00D11DAF" w:rsidRDefault="003F6B61" w:rsidP="003F6B61">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3F6B61" w:rsidRPr="00D11DAF" w:rsidRDefault="003F6B61" w:rsidP="003F6B61">
            <w:pPr>
              <w:jc w:val="both"/>
              <w:rPr>
                <w:rFonts w:ascii="Palatino Linotype" w:hAnsi="Palatino Linotype"/>
                <w:sz w:val="22"/>
                <w:szCs w:val="22"/>
              </w:rPr>
            </w:pPr>
            <w:r w:rsidRPr="00D11DAF">
              <w:rPr>
                <w:rFonts w:ascii="Palatino Linotype" w:hAnsi="Palatino Linotype"/>
                <w:sz w:val="22"/>
                <w:szCs w:val="22"/>
              </w:rPr>
              <w:t>Infosys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D11DAF" w:rsidRDefault="003F6B61" w:rsidP="003F6B61">
            <w:pPr>
              <w:jc w:val="both"/>
              <w:rPr>
                <w:rFonts w:ascii="Palatino Linotype" w:hAnsi="Palatino Linotype"/>
                <w:sz w:val="22"/>
                <w:szCs w:val="22"/>
              </w:rPr>
            </w:pPr>
            <w:r w:rsidRPr="00D11DAF">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3F6B61" w:rsidRPr="00D11DAF" w:rsidRDefault="003F6B61" w:rsidP="003F6B61">
            <w:pPr>
              <w:jc w:val="both"/>
              <w:rPr>
                <w:rFonts w:ascii="Palatino Linotype" w:hAnsi="Palatino Linotype"/>
                <w:sz w:val="22"/>
                <w:szCs w:val="22"/>
              </w:rPr>
            </w:pPr>
            <w:r w:rsidRPr="00D11DAF">
              <w:rPr>
                <w:rFonts w:ascii="Palatino Linotype" w:hAnsi="Palatino Linotype"/>
                <w:sz w:val="22"/>
                <w:szCs w:val="22"/>
              </w:rPr>
              <w:t xml:space="preserve">Pranshu Bhutra and 7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F6B61" w:rsidRPr="00D11DAF" w:rsidRDefault="003F6B61" w:rsidP="003F6B61">
            <w:pPr>
              <w:shd w:val="clear" w:color="auto" w:fill="FFFFFF"/>
              <w:jc w:val="both"/>
              <w:rPr>
                <w:rFonts w:ascii="Palatino Linotype" w:hAnsi="Palatino Linotype"/>
                <w:sz w:val="22"/>
                <w:szCs w:val="22"/>
              </w:rPr>
            </w:pPr>
            <w:r w:rsidRPr="00D11DAF">
              <w:rPr>
                <w:rFonts w:ascii="Palatino Linotype" w:hAnsi="Palatino Linotype"/>
                <w:sz w:val="22"/>
                <w:szCs w:val="22"/>
              </w:rPr>
              <w:t>Regulation 9A(2)(a) and Regulation 9(4) of PIT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F6B61" w:rsidRPr="00D11DAF" w:rsidRDefault="003F6B61" w:rsidP="003F6B61">
            <w:pPr>
              <w:jc w:val="right"/>
              <w:rPr>
                <w:rFonts w:ascii="Palatino Linotype" w:hAnsi="Palatino Linotype"/>
                <w:sz w:val="22"/>
                <w:szCs w:val="22"/>
              </w:rPr>
            </w:pPr>
            <w:r w:rsidRPr="00D11DAF">
              <w:rPr>
                <w:rFonts w:ascii="Palatino Linotype" w:hAnsi="Palatino Linotype"/>
                <w:sz w:val="22"/>
                <w:szCs w:val="22"/>
              </w:rPr>
              <w:t>-</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19</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17/05/2021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Gromo Trade &amp; Consultancy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Gromo Trade &amp; Consultancy Ltd. and 11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 xml:space="preserve">Regulations 3(a), (b), (c) &amp; (d), 4(1) and 4(2) (a) &amp; (e) of SEBI </w:t>
            </w:r>
            <w:r w:rsidRPr="00F40C36">
              <w:rPr>
                <w:rFonts w:ascii="Palatino Linotype" w:hAnsi="Palatino Linotype"/>
                <w:sz w:val="22"/>
                <w:szCs w:val="22"/>
              </w:rPr>
              <w:lastRenderedPageBreak/>
              <w:t xml:space="preserve">(Prohibition of Fraudulent and Unfair Trade Practices Relating  to  Securities Market) Regulations, 2003 (PFUTP Regulations), Section 21 of Securities   Contracts (Regulation) Act, 1956 read with  Clause  43  of  Listing  Agreement.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lastRenderedPageBreak/>
              <w:t>67,00,000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20</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Alps Motor Finance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Vishnudham Marketing Private Limited and 13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 3 (a) (b) (c) (d) and 4 (1), 4(2)(a)and(e) of    the    SEBI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1,05,00,000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21</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Wisdom Agro Tech India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 xml:space="preserve">Govinda Pilai Reghukumara, Gilbert James Dhason, Kumaresan Vasantha kumari, Jeyashoba Thankappan Rajam.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Directions issued under Section 11B of SEBI Act, Section 12(1B) of SEBI Act read with Regulation 3 of Collective Investment Scheme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F40C36"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w:t>
            </w:r>
            <w:r w:rsidR="00606689">
              <w:rPr>
                <w:rFonts w:ascii="Palatino Linotype" w:hAnsi="Palatino Linotype"/>
                <w:color w:val="000000"/>
                <w:sz w:val="22"/>
                <w:szCs w:val="22"/>
                <w:lang w:val="en-IN" w:eastAsia="en-IN" w:bidi="hi-IN"/>
              </w:rPr>
              <w:t>2</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Grovalue Commodity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Grovalue Commodity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 17 (1) (g) of Brokers Regulation, Section 23D of SCRA, 1956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7,00,000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F40C36"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w:t>
            </w:r>
            <w:r w:rsidR="00606689">
              <w:rPr>
                <w:rFonts w:ascii="Palatino Linotype" w:hAnsi="Palatino Linotype"/>
                <w:color w:val="000000"/>
                <w:sz w:val="22"/>
                <w:szCs w:val="22"/>
                <w:lang w:val="en-IN" w:eastAsia="en-IN" w:bidi="hi-IN"/>
              </w:rPr>
              <w:t>3</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Balance Equity Broking (I) Pvt.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Balance Equity Broking (I)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Circular no. SMD/SED/CIR/93/23321 dated 18 Nov, 1993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17,00,000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24</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B. R. Jalan Securities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B. R. Jalan Securities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Clause 1(D) of SEBI Circular No. SMD/SED/CIR/93/23321 dated November 18, 1993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25</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Pankaj Piyush Trade and Investments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 xml:space="preserve">Pankaj Piyush Trade and Investments Ltd, Vinod Kumar Bansal, Renu Bansal, Seema </w:t>
            </w:r>
            <w:r w:rsidRPr="00F40C36">
              <w:rPr>
                <w:rFonts w:ascii="Palatino Linotype" w:hAnsi="Palatino Linotype"/>
                <w:sz w:val="22"/>
                <w:szCs w:val="22"/>
              </w:rPr>
              <w:lastRenderedPageBreak/>
              <w:t xml:space="preserve">Mangal, Ankit Agarwal, Radha Agarwal.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lastRenderedPageBreak/>
              <w:t xml:space="preserve">Section 12A(a), (b), (c) of the SEBI Act, 1992 r/w regulations 3(a), 3(b),  3(c),  3(d), 4(2)(a),  4(2)(f)  and  </w:t>
            </w:r>
            <w:r w:rsidRPr="00F40C36">
              <w:rPr>
                <w:rFonts w:ascii="Palatino Linotype" w:hAnsi="Palatino Linotype"/>
                <w:sz w:val="22"/>
                <w:szCs w:val="22"/>
              </w:rPr>
              <w:lastRenderedPageBreak/>
              <w:t>4(2)(r)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lastRenderedPageBreak/>
              <w:t>55,00,000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26</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Biocon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 xml:space="preserve">Narendra Chirmule, Biocon Ltd.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Clause 13 of model of code of conduct prescribed under Schedule B of Regulation 9(1) and 9(2) of SEBI  (Prohibition  of Insider  Trading)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14,00,000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27</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 xml:space="preserve">Non filing/ delayed filing of financial results.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Karnataka State Financial Corporation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 52(1) of SEBI (Listing  Obligations  and  Disclosure  Requirements)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28</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 xml:space="preserve">Non filing/ delayed filing of financial results.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Delhi  Transco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 52(1) of SEBI (Listing  Obligations  and  Disclosure  Requirements)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29</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Cairn India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 xml:space="preserve">Cairn India Ltd, P Elango, Aman Mehta, Neerja Sharma.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  3 (a) (b) (c) (d), 4 (1), 4 (2) (k) and  (r)  of  SEBI  (PFUTP) Regulations, 2003, Section 19(1) (a)    of    SEBI    (Buyback)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5,70,00,000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F40C36"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w:t>
            </w:r>
            <w:r w:rsidR="00606689">
              <w:rPr>
                <w:rFonts w:ascii="Palatino Linotype" w:hAnsi="Palatino Linotype"/>
                <w:color w:val="000000"/>
                <w:sz w:val="22"/>
                <w:szCs w:val="22"/>
                <w:lang w:val="en-IN" w:eastAsia="en-IN" w:bidi="hi-IN"/>
              </w:rPr>
              <w:t>0</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Pr>
                <w:rFonts w:ascii="Palatino Linotype" w:hAnsi="Palatino Linotype"/>
                <w:sz w:val="22"/>
                <w:szCs w:val="22"/>
              </w:rPr>
              <w:t>19/05/2021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Pr>
                <w:rFonts w:ascii="Palatino Linotype" w:hAnsi="Palatino Linotype"/>
                <w:sz w:val="22"/>
                <w:szCs w:val="22"/>
              </w:rPr>
              <w:t>N</w:t>
            </w:r>
            <w:r w:rsidRPr="00F40C36">
              <w:rPr>
                <w:rFonts w:ascii="Palatino Linotype" w:hAnsi="Palatino Linotype"/>
                <w:sz w:val="22"/>
                <w:szCs w:val="22"/>
              </w:rPr>
              <w:t>on filing/ delayed filing of financial results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Berar Finance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 52(1) of SEBI (Listing  Obligations  and  Disclosure  Requirements)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F40C36"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w:t>
            </w:r>
            <w:r w:rsidR="00606689">
              <w:rPr>
                <w:rFonts w:ascii="Palatino Linotype" w:hAnsi="Palatino Linotype"/>
                <w:color w:val="000000"/>
                <w:sz w:val="22"/>
                <w:szCs w:val="22"/>
                <w:lang w:val="en-IN" w:eastAsia="en-IN" w:bidi="hi-IN"/>
              </w:rPr>
              <w:t>1</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20/05/2021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Dealing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4A Financials Securities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 3(a), 4(1) and 4(2)(a) of the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6,00,000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F40C36"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w:t>
            </w:r>
            <w:r w:rsidR="00606689">
              <w:rPr>
                <w:rFonts w:ascii="Palatino Linotype" w:hAnsi="Palatino Linotype"/>
                <w:color w:val="000000"/>
                <w:sz w:val="22"/>
                <w:szCs w:val="22"/>
                <w:lang w:val="en-IN" w:eastAsia="en-IN" w:bidi="hi-IN"/>
              </w:rPr>
              <w:t>2</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GDR Issue of Morepen Laboratories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Manoj Joshi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F40C36"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w:t>
            </w:r>
            <w:r w:rsidR="00606689">
              <w:rPr>
                <w:rFonts w:ascii="Palatino Linotype" w:hAnsi="Palatino Linotype"/>
                <w:color w:val="000000"/>
                <w:sz w:val="22"/>
                <w:szCs w:val="22"/>
                <w:lang w:val="en-IN" w:eastAsia="en-IN" w:bidi="hi-IN"/>
              </w:rPr>
              <w:t>3</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Dealing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Cliff Trexim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 xml:space="preserve">Regulations 3 (a), (b), (c), (d) and 4 (1), 4 (2) </w:t>
            </w:r>
            <w:r w:rsidRPr="00F40C36">
              <w:rPr>
                <w:rFonts w:ascii="Palatino Linotype" w:hAnsi="Palatino Linotype"/>
                <w:sz w:val="22"/>
                <w:szCs w:val="22"/>
              </w:rPr>
              <w:lastRenderedPageBreak/>
              <w:t>(a)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lastRenderedPageBreak/>
              <w:t>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34</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Dealing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Binani Metals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Regulations 3 (a), (b), (c), (d) and 4 (1), 4 (2) (a)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6,30,000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35</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Marg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 xml:space="preserve">G R K Reddy and 21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SEBI  order  dated  November  15,  2019 and communication-order dated July 02, 2020 r/w rule  4(1)  of  the  SEBI  (Procedure  for  Holding  Inquiry  and  Imposing  Penalties)  Rules,  1995 regulations  11(1)  read  with  regulation  14(2)  of  SEBI (Substantial Acquisition of  Shares and Takeovers) Regulations, 1997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1,00,00,000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36</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25/05/2021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Silicon Valley Infotech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Ojas Suppliers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 4 (a), (b), (c) and (d) read with Regulation 13 of SEBI  (Prohibition of Fraudulent and Unfair Trade Practices relating to Securities Market) Regulations, 2003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37</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25/05/2021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Silicon Valley Infotech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Amluckie Investment Company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 xml:space="preserve">Regulation 4(a), (b), (c) and (d) of PFUTP Regulations, 1995 read with Regulation 13 of PFUTP Regulations, 2003. Regulation  7(1A) of SEBI (Substantial   Acquisition   of   Shares   and Takeovers)  Regulations,  1997  and  Regulation  13(3)  of  the  SEBI </w:t>
            </w:r>
            <w:r w:rsidRPr="00F40C36">
              <w:rPr>
                <w:rFonts w:ascii="Palatino Linotype" w:hAnsi="Palatino Linotype"/>
                <w:sz w:val="22"/>
                <w:szCs w:val="22"/>
              </w:rPr>
              <w:lastRenderedPageBreak/>
              <w:t>(Prohibition of Insider Trading)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lastRenderedPageBreak/>
              <w:t>6,00,000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38</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25/05/2021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Trading activities of Sunil Kumar Kayan &amp; Co.</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Sunil Kumar Kayan &amp; Co.</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Section 23D of the Securities Contracts (Regulation) Act, 1956 (SCRA)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1,50,000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606689"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39</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27/05/2021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Amrapali Capital &amp; Finance Services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Amrapali Capital &amp; Finance Services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Section  23D  of  SCRA,  SEBI  Circular SMD/SED/CIR/93/23321 dated November 18, 1993, SEBI circular SEBI/HO/MIRSD/MIRSD2/CIR/P/2016/95   dated   September   26,   2016, SEBI Circular   CIR/HO/MIRSD/MIRSD/CIR/P/2017/64   dated   June   22,   2017,   SEBI Circular  ref  no.  CIR/MIRSD/16/2011  dated  August  22,  2011, SEBI  Circular  No. CIR/MIRSD/15/2011 dated August 02, 2011and SEBI Circular no. MIRSD/SE/Cir-19/2009 dated December 3, 2009.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4,00,000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F40C36"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w:t>
            </w:r>
            <w:r w:rsidR="00606689">
              <w:rPr>
                <w:rFonts w:ascii="Palatino Linotype" w:hAnsi="Palatino Linotype"/>
                <w:color w:val="000000"/>
                <w:sz w:val="22"/>
                <w:szCs w:val="22"/>
                <w:lang w:val="en-IN" w:eastAsia="en-IN" w:bidi="hi-IN"/>
              </w:rPr>
              <w:t>0</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GDR issue of K Sera Sera Limited (now known as KSS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Dinesh Bhanusali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Section 12A(a), (b), (c) of SEBI Act read with Regulations 3(b), (c), (d) and 4(2)(c), (f), (k), (r)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1,00,00,000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F40C36"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w:t>
            </w:r>
            <w:r w:rsidR="00606689">
              <w:rPr>
                <w:rFonts w:ascii="Palatino Linotype" w:hAnsi="Palatino Linotype"/>
                <w:color w:val="000000"/>
                <w:sz w:val="22"/>
                <w:szCs w:val="22"/>
                <w:lang w:val="en-IN" w:eastAsia="en-IN" w:bidi="hi-IN"/>
              </w:rPr>
              <w:t>1</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 xml:space="preserve">Mahadushi International Trade Limited (currently known as Negotium </w:t>
            </w:r>
            <w:r w:rsidRPr="00F40C36">
              <w:rPr>
                <w:rFonts w:ascii="Palatino Linotype" w:hAnsi="Palatino Linotype"/>
                <w:sz w:val="22"/>
                <w:szCs w:val="22"/>
              </w:rPr>
              <w:lastRenderedPageBreak/>
              <w:t>International Trade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lastRenderedPageBreak/>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 xml:space="preserve">Gajgamini  Merchandise  Private  Limited,  Sidhiman  Vyapaar Private  Limited,  Vishnudham  </w:t>
            </w:r>
            <w:r w:rsidRPr="00F40C36">
              <w:rPr>
                <w:rFonts w:ascii="Palatino Linotype" w:hAnsi="Palatino Linotype"/>
                <w:sz w:val="22"/>
                <w:szCs w:val="22"/>
              </w:rPr>
              <w:lastRenderedPageBreak/>
              <w:t>Marketing  Private  Limited,  Muchmore  Vincom  Private  Limited, Gajendra Kumar Tyagi, Diwakar Bhagwati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lastRenderedPageBreak/>
              <w:t xml:space="preserve">Regulation 13(3) read with 13(5) of the PIT Regulations and Regulation 29(2) read with regulation 29(3)of  SEBI </w:t>
            </w:r>
            <w:r w:rsidRPr="00F40C36">
              <w:rPr>
                <w:rFonts w:ascii="Palatino Linotype" w:hAnsi="Palatino Linotype"/>
                <w:sz w:val="22"/>
                <w:szCs w:val="22"/>
              </w:rPr>
              <w:lastRenderedPageBreak/>
              <w:t>(Substantial Acquisition of Shares and Takeovers) Regulations (SAST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lastRenderedPageBreak/>
              <w:t>25,00,000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Pr="008B3E9B" w:rsidRDefault="00F40C36" w:rsidP="00606689">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4</w:t>
            </w:r>
            <w:r w:rsidR="00606689">
              <w:rPr>
                <w:rFonts w:ascii="Palatino Linotype" w:hAnsi="Palatino Linotype"/>
                <w:color w:val="000000"/>
                <w:sz w:val="22"/>
                <w:szCs w:val="22"/>
                <w:lang w:val="en-IN" w:eastAsia="en-IN" w:bidi="hi-IN"/>
              </w:rPr>
              <w:t>2</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Valuemart Retail Solutions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Manish Uppal</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 29, 10  (1)  (g)  of  the  SAST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43</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Illiquid stock options at BSE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Capony Consulting</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Regulations 3 (a), (b), (c), (d) and 4 (1), 4 (2) (a)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44</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Todi Securities Pvt.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Todi Securities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Regulations 3, 4 (1) &amp; 4 (2) (a) of the PFUTP Regulations and clause A(2), (3) &amp; (4) of the Code of Conduct under Schedule II  of Stock Brokers Regulation.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12,00,000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45</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Comfort Securities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Comfort Securities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Section 23D of the SCRA, 1956 and Section 19G of the Depositories Act, 1996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7,00,000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46</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Sanjay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47</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Radhe Krishna Fiscal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48</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Prakash Estates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t>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49</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28/05/2021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GDR issue of Winsome Yarns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F40C36">
              <w:rPr>
                <w:rFonts w:ascii="Palatino Linotype" w:hAnsi="Palatino Linotype"/>
                <w:sz w:val="22"/>
                <w:szCs w:val="22"/>
              </w:rPr>
              <w:t>Winsome  Yarns  Ltd, Manish  Bagrodia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shd w:val="clear" w:color="auto" w:fill="FFFFFF"/>
              <w:jc w:val="both"/>
              <w:rPr>
                <w:rFonts w:ascii="Palatino Linotype" w:hAnsi="Palatino Linotype"/>
                <w:sz w:val="22"/>
                <w:szCs w:val="22"/>
              </w:rPr>
            </w:pPr>
            <w:r w:rsidRPr="00F40C36">
              <w:rPr>
                <w:rFonts w:ascii="Palatino Linotype" w:hAnsi="Palatino Linotype"/>
                <w:sz w:val="22"/>
                <w:szCs w:val="22"/>
              </w:rPr>
              <w:t xml:space="preserve">Section  12A(a),  (b),  (c)  of SEBI  Act  read  with  Regulations  3(a),  (b),  (c),  (d)  and  4(1),  4(2)(f),  (k),  (r)  of PFUTP  Regulations  and  Section  21  of SCRA </w:t>
            </w:r>
            <w:r w:rsidRPr="00F40C36">
              <w:rPr>
                <w:rFonts w:ascii="Palatino Linotype" w:hAnsi="Palatino Linotype"/>
                <w:sz w:val="22"/>
                <w:szCs w:val="22"/>
              </w:rPr>
              <w:lastRenderedPageBreak/>
              <w:t xml:space="preserve">read  with  Clauses  32,  36(7)  and 50  of  Listing  Agreement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F40C36" w:rsidRDefault="00F40C36" w:rsidP="00F40C36">
            <w:pPr>
              <w:jc w:val="right"/>
              <w:rPr>
                <w:rFonts w:ascii="Palatino Linotype" w:hAnsi="Palatino Linotype"/>
                <w:sz w:val="22"/>
                <w:szCs w:val="22"/>
              </w:rPr>
            </w:pPr>
            <w:r w:rsidRPr="00F40C36">
              <w:rPr>
                <w:rFonts w:ascii="Palatino Linotype" w:hAnsi="Palatino Linotype"/>
                <w:sz w:val="22"/>
                <w:szCs w:val="22"/>
              </w:rPr>
              <w:lastRenderedPageBreak/>
              <w:t>12,00,00,000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50</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PMC Fincorp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 xml:space="preserve">PMC Fincorp Limited, Raj Kumar Modi, Prabhat   Management   Services   Pvt   Ltd, R R P Management Services Pvt Ltd.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Section  12A  (a),  (b),  (c)  of  SEBI  Act  read  with Regulation 3 (a), (b), (c), (d) and4(1) of SEBI(Prohibition  of  Fraudulent  and  Unfair  Trade  Practices  Relating  to Securities   Market)   Regulations,   2003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40,00,000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51</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Capstocks &amp; Securities (India) Pvt.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Capstocks &amp; Securities (India)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F40C36" w:rsidRDefault="00F40C36" w:rsidP="00F40C36">
            <w:pPr>
              <w:pStyle w:val="Default"/>
              <w:rPr>
                <w:rFonts w:ascii="Palatino Linotype" w:eastAsiaTheme="minorHAnsi" w:hAnsi="Palatino Linotype" w:cs="Times New Roman"/>
                <w:color w:val="auto"/>
                <w:sz w:val="22"/>
                <w:szCs w:val="22"/>
                <w:lang w:val="en-GB"/>
              </w:rPr>
            </w:pPr>
          </w:p>
          <w:p w:rsidR="00F40C36" w:rsidRPr="00F40C36" w:rsidRDefault="00F40C36" w:rsidP="00F40C36">
            <w:pPr>
              <w:pStyle w:val="Default"/>
              <w:rPr>
                <w:rFonts w:ascii="Palatino Linotype" w:eastAsiaTheme="minorHAnsi" w:hAnsi="Palatino Linotype" w:cs="Times New Roman"/>
                <w:color w:val="auto"/>
                <w:sz w:val="22"/>
                <w:szCs w:val="22"/>
                <w:lang w:val="en-GB"/>
              </w:rPr>
            </w:pPr>
            <w:r w:rsidRPr="00F40C36">
              <w:rPr>
                <w:rFonts w:ascii="Palatino Linotype" w:eastAsiaTheme="minorHAnsi" w:hAnsi="Palatino Linotype" w:cs="Times New Roman"/>
                <w:color w:val="auto"/>
                <w:sz w:val="22"/>
                <w:szCs w:val="22"/>
                <w:lang w:val="en-GB"/>
              </w:rPr>
              <w:t>SEBI Circular SMD/SED/CIR/93/23321 dated November 18, 1993;</w:t>
            </w:r>
          </w:p>
          <w:p w:rsidR="00F40C36" w:rsidRPr="00F40C36" w:rsidRDefault="00F40C36" w:rsidP="00F40C36">
            <w:pPr>
              <w:pStyle w:val="Default"/>
              <w:rPr>
                <w:rFonts w:ascii="Palatino Linotype" w:eastAsiaTheme="minorHAnsi" w:hAnsi="Palatino Linotype" w:cs="Times New Roman"/>
                <w:color w:val="auto"/>
                <w:sz w:val="22"/>
                <w:szCs w:val="22"/>
                <w:lang w:val="en-GB"/>
              </w:rPr>
            </w:pPr>
          </w:p>
          <w:p w:rsidR="00F40C36" w:rsidRPr="00F40C36" w:rsidRDefault="00F40C36" w:rsidP="00F40C36">
            <w:pPr>
              <w:pStyle w:val="Default"/>
              <w:rPr>
                <w:rFonts w:ascii="Palatino Linotype" w:eastAsiaTheme="minorHAnsi" w:hAnsi="Palatino Linotype" w:cs="Times New Roman"/>
                <w:color w:val="auto"/>
                <w:sz w:val="22"/>
                <w:szCs w:val="22"/>
                <w:lang w:val="en-GB"/>
              </w:rPr>
            </w:pPr>
            <w:r w:rsidRPr="00F40C36">
              <w:rPr>
                <w:rFonts w:ascii="Palatino Linotype" w:eastAsiaTheme="minorHAnsi" w:hAnsi="Palatino Linotype" w:cs="Times New Roman"/>
                <w:color w:val="auto"/>
                <w:sz w:val="22"/>
                <w:szCs w:val="22"/>
                <w:lang w:val="en-GB"/>
              </w:rPr>
              <w:t xml:space="preserve">Circular SEBI/HO/MIRSD/MIRSD2/CIR/P/2016/95 dated September 26, 2016. </w:t>
            </w:r>
          </w:p>
          <w:p w:rsidR="00F40C36" w:rsidRPr="00F40C36" w:rsidRDefault="00F40C36" w:rsidP="00F40C36">
            <w:pPr>
              <w:pStyle w:val="Default"/>
              <w:rPr>
                <w:rFonts w:ascii="Palatino Linotype" w:eastAsiaTheme="minorHAnsi" w:hAnsi="Palatino Linotype" w:cs="Times New Roman"/>
                <w:color w:val="auto"/>
                <w:sz w:val="22"/>
                <w:szCs w:val="22"/>
                <w:lang w:val="en-GB"/>
              </w:rPr>
            </w:pPr>
          </w:p>
          <w:p w:rsidR="00F40C36" w:rsidRPr="00F40C36" w:rsidRDefault="00F40C36" w:rsidP="00F40C36">
            <w:pPr>
              <w:pStyle w:val="Default"/>
              <w:rPr>
                <w:rFonts w:ascii="Palatino Linotype" w:eastAsiaTheme="minorHAnsi" w:hAnsi="Palatino Linotype" w:cs="Times New Roman"/>
                <w:color w:val="auto"/>
                <w:sz w:val="22"/>
                <w:szCs w:val="22"/>
                <w:lang w:val="en-GB"/>
              </w:rPr>
            </w:pPr>
          </w:p>
          <w:p w:rsidR="00F40C36" w:rsidRPr="00F40C36" w:rsidRDefault="00F40C36" w:rsidP="00F40C36">
            <w:pPr>
              <w:pStyle w:val="Default"/>
              <w:rPr>
                <w:rFonts w:ascii="Palatino Linotype" w:eastAsiaTheme="minorHAnsi" w:hAnsi="Palatino Linotype" w:cs="Times New Roman"/>
                <w:color w:val="auto"/>
                <w:sz w:val="22"/>
                <w:szCs w:val="22"/>
                <w:lang w:val="en-GB"/>
              </w:rPr>
            </w:pPr>
            <w:r w:rsidRPr="00F40C36">
              <w:rPr>
                <w:rFonts w:ascii="Palatino Linotype" w:eastAsiaTheme="minorHAnsi" w:hAnsi="Palatino Linotype" w:cs="Times New Roman"/>
                <w:color w:val="auto"/>
                <w:sz w:val="22"/>
                <w:szCs w:val="22"/>
                <w:lang w:val="en-GB"/>
              </w:rPr>
              <w:t xml:space="preserve">Circular SEBI/MIRSD/SE/Cir-19/2009 dated December 03, 2009 </w:t>
            </w:r>
          </w:p>
          <w:p w:rsidR="00F40C36" w:rsidRPr="00F40C36" w:rsidRDefault="00F40C36" w:rsidP="00F40C36">
            <w:pPr>
              <w:pStyle w:val="Default"/>
              <w:rPr>
                <w:rFonts w:ascii="Palatino Linotype" w:eastAsiaTheme="minorHAnsi" w:hAnsi="Palatino Linotype" w:cs="Times New Roman"/>
                <w:color w:val="auto"/>
                <w:sz w:val="22"/>
                <w:szCs w:val="22"/>
                <w:lang w:val="en-GB"/>
              </w:rPr>
            </w:pPr>
            <w:r w:rsidRPr="00F40C36">
              <w:rPr>
                <w:rFonts w:ascii="Palatino Linotype" w:eastAsiaTheme="minorHAnsi" w:hAnsi="Palatino Linotype" w:cs="Times New Roman"/>
                <w:color w:val="auto"/>
                <w:sz w:val="22"/>
                <w:szCs w:val="22"/>
                <w:lang w:val="en-GB"/>
              </w:rPr>
              <w:t xml:space="preserve"> </w:t>
            </w:r>
          </w:p>
          <w:p w:rsidR="00F40C36" w:rsidRPr="00F40C36" w:rsidRDefault="00F40C36" w:rsidP="00F40C36">
            <w:pPr>
              <w:pStyle w:val="Default"/>
              <w:rPr>
                <w:rFonts w:ascii="Palatino Linotype" w:eastAsiaTheme="minorHAnsi" w:hAnsi="Palatino Linotype" w:cs="Times New Roman"/>
                <w:color w:val="auto"/>
                <w:sz w:val="22"/>
                <w:szCs w:val="22"/>
                <w:lang w:val="en-GB"/>
              </w:rPr>
            </w:pPr>
            <w:r w:rsidRPr="00F40C36">
              <w:rPr>
                <w:rFonts w:ascii="Palatino Linotype" w:eastAsiaTheme="minorHAnsi" w:hAnsi="Palatino Linotype" w:cs="Times New Roman"/>
                <w:color w:val="auto"/>
                <w:sz w:val="22"/>
                <w:szCs w:val="22"/>
                <w:lang w:val="en-GB"/>
              </w:rPr>
              <w:t xml:space="preserve"> </w:t>
            </w:r>
          </w:p>
          <w:p w:rsidR="00F40C36" w:rsidRPr="00F40C36" w:rsidRDefault="00F40C36" w:rsidP="00F40C36">
            <w:pPr>
              <w:pStyle w:val="Default"/>
              <w:rPr>
                <w:rFonts w:ascii="Palatino Linotype" w:eastAsiaTheme="minorHAnsi" w:hAnsi="Palatino Linotype" w:cs="Times New Roman"/>
                <w:color w:val="auto"/>
                <w:sz w:val="22"/>
                <w:szCs w:val="22"/>
                <w:lang w:val="en-GB"/>
              </w:rPr>
            </w:pPr>
            <w:r w:rsidRPr="00F40C36">
              <w:rPr>
                <w:rFonts w:ascii="Palatino Linotype" w:eastAsiaTheme="minorHAnsi" w:hAnsi="Palatino Linotype" w:cs="Times New Roman"/>
                <w:color w:val="auto"/>
                <w:sz w:val="22"/>
                <w:szCs w:val="22"/>
                <w:lang w:val="en-GB"/>
              </w:rPr>
              <w:t xml:space="preserve">Circular CIR/HO/MIRSD/MIRSD2/CIR/P/2017/108 dated September 26, 2017 </w:t>
            </w:r>
          </w:p>
          <w:p w:rsidR="00F40C36" w:rsidRPr="00D11DAF" w:rsidRDefault="00F40C36" w:rsidP="00F40C36">
            <w:pPr>
              <w:shd w:val="clear" w:color="auto" w:fill="FFFFFF"/>
              <w:jc w:val="both"/>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7,00,000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52</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Trading in 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Shiva Commodities Private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Regulations 3(a), (b), (c), (d), 4(1) and  4(2)(a)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10,40,000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53</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 xml:space="preserve">SDC Techmedia Limited (Formerly known as One </w:t>
            </w:r>
            <w:r w:rsidRPr="00D11DAF">
              <w:rPr>
                <w:rFonts w:ascii="Palatino Linotype" w:hAnsi="Palatino Linotype"/>
                <w:sz w:val="22"/>
                <w:szCs w:val="22"/>
              </w:rPr>
              <w:lastRenderedPageBreak/>
              <w:t>Source Techmedia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lastRenderedPageBreak/>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Mr. Jose Charles Martin</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 xml:space="preserve">Regulation  29(1)  read  with  Regulation  29(3)  of  </w:t>
            </w:r>
            <w:r w:rsidRPr="00D11DAF">
              <w:rPr>
                <w:rFonts w:ascii="Palatino Linotype" w:hAnsi="Palatino Linotype"/>
                <w:sz w:val="22"/>
                <w:szCs w:val="22"/>
              </w:rPr>
              <w:lastRenderedPageBreak/>
              <w:t>the  SEBI (Substantial  Acquisition  of  Shares  and  Takeovers)  Regulations,  2011 (SAST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lastRenderedPageBreak/>
              <w:t>2,00,000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54</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Himachal Fibres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Rajesh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 xml:space="preserve">Regulation 7(1A) read with 7(2) and 8(2) of SAST Regulations, 1997.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1,00,000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55</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Himachal Fibres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Harish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 xml:space="preserve">Regulation 8(2) of SAST Regulations, 1997.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1,00,000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56</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Himachal Fibres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Chandra Devi Jatan Raj Kathari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Regulation 8(2) of SAST Regulations, 1997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1,00,000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57</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Himachal Fibres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Dyal Sarup</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 xml:space="preserve">Regulation 8(2) for F.Y. 2007 and 2010 of SAST Regulations.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1,00,000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58</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Swaran Financial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12,00,000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59</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Laxmi  Iron  &amp;  Steel  Works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5,00,000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60</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Sarswati  Sales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14,50,000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61</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Yatin B Shah</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Section 12A of SEBI Act and Regulations3(a), 3(b), 3(c), 3(d), 4(1), 4(2)(a)and 4(2)(e)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2,00,000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62</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 xml:space="preserve">Rakesh Sharma, Rajesh Unnikrishnan, Dharmesh Shah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Section 12A of SEBI Act and Regulations3(a), 3(b), 3(c), 3(d), 4(1), 4(2)(e) and 4(2)(r)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6,00,000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63</w:t>
            </w:r>
          </w:p>
        </w:tc>
        <w:tc>
          <w:tcPr>
            <w:tcW w:w="1276" w:type="dxa"/>
            <w:tcBorders>
              <w:top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 xml:space="preserve">Maheshbhai Himatlal Sheth, </w:t>
            </w:r>
            <w:r w:rsidRPr="00D11DAF">
              <w:rPr>
                <w:rFonts w:ascii="Palatino Linotype" w:hAnsi="Palatino Linotype"/>
                <w:sz w:val="22"/>
                <w:szCs w:val="22"/>
              </w:rPr>
              <w:lastRenderedPageBreak/>
              <w:t>Deepak Thakkar, Raju G. Shah, Sharda Pujara, Meet  Shares  and  Stocks Services Ltd, Mukesh Jain, Sanjay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lastRenderedPageBreak/>
              <w:t xml:space="preserve">Section 12A of SEBI Act and </w:t>
            </w:r>
            <w:r w:rsidRPr="00D11DAF">
              <w:rPr>
                <w:rFonts w:ascii="Palatino Linotype" w:hAnsi="Palatino Linotype"/>
                <w:sz w:val="22"/>
                <w:szCs w:val="22"/>
              </w:rPr>
              <w:lastRenderedPageBreak/>
              <w:t>Regulations3(a), 3(b), 3(c), 3(d), 4(1), 4(2)(a), 4(2)(b)and 4(2)(e)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lastRenderedPageBreak/>
              <w:t>13,00,000</w:t>
            </w:r>
          </w:p>
        </w:tc>
      </w:tr>
      <w:tr w:rsidR="00F40C36" w:rsidRPr="00B83873" w:rsidTr="00F40C36">
        <w:trPr>
          <w:trHeight w:val="300"/>
        </w:trPr>
        <w:tc>
          <w:tcPr>
            <w:tcW w:w="567" w:type="dxa"/>
            <w:tcBorders>
              <w:top w:val="single" w:sz="4" w:space="0" w:color="auto"/>
              <w:left w:val="single" w:sz="4" w:space="0" w:color="auto"/>
              <w:bottom w:val="single" w:sz="4" w:space="0" w:color="auto"/>
              <w:right w:val="single" w:sz="4" w:space="0" w:color="auto"/>
            </w:tcBorders>
          </w:tcPr>
          <w:p w:rsidR="00F40C36" w:rsidRDefault="00606689" w:rsidP="00F40C36">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lastRenderedPageBreak/>
              <w:t>64</w:t>
            </w:r>
          </w:p>
        </w:tc>
        <w:tc>
          <w:tcPr>
            <w:tcW w:w="1276" w:type="dxa"/>
            <w:tcBorders>
              <w:top w:val="single" w:sz="4" w:space="0" w:color="auto"/>
              <w:bottom w:val="single" w:sz="4" w:space="0" w:color="auto"/>
              <w:right w:val="single" w:sz="4" w:space="0" w:color="auto"/>
            </w:tcBorders>
            <w:shd w:val="clear" w:color="auto" w:fill="auto"/>
            <w:noWrap/>
          </w:tcPr>
          <w:p w:rsidR="00F40C36" w:rsidRPr="00F40C36" w:rsidRDefault="00F40C36" w:rsidP="00F40C36">
            <w:pPr>
              <w:jc w:val="both"/>
              <w:rPr>
                <w:rFonts w:ascii="Palatino Linotype" w:hAnsi="Palatino Linotype"/>
                <w:sz w:val="22"/>
                <w:szCs w:val="22"/>
              </w:rPr>
            </w:pPr>
            <w:r w:rsidRPr="00D11DAF">
              <w:rPr>
                <w:rFonts w:ascii="Palatino Linotype" w:hAnsi="Palatino Linotype"/>
                <w:sz w:val="22"/>
                <w:szCs w:val="22"/>
              </w:rPr>
              <w:t>31/05/2021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Pyramid Saimira Theatre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both"/>
              <w:rPr>
                <w:rFonts w:ascii="Palatino Linotype" w:hAnsi="Palatino Linotype"/>
                <w:sz w:val="22"/>
                <w:szCs w:val="22"/>
              </w:rPr>
            </w:pPr>
            <w:r w:rsidRPr="00D11DAF">
              <w:rPr>
                <w:rFonts w:ascii="Palatino Linotype" w:hAnsi="Palatino Linotype"/>
                <w:sz w:val="22"/>
                <w:szCs w:val="22"/>
              </w:rPr>
              <w:t>Amol Kokane, Falguni Jayesh Shah, Hardik Mithani, Priyanka Darshan Desai, Inventure Growth &amp; Securities Ltd, SPJ Stock Broker Pvt Ltd, DKG Securities Pvt Ltd,  APL Infrastructure Ltd,   Milanbhai Mithani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0C36" w:rsidRPr="00D11DAF" w:rsidRDefault="00F40C36" w:rsidP="00F40C36">
            <w:pPr>
              <w:shd w:val="clear" w:color="auto" w:fill="FFFFFF"/>
              <w:jc w:val="both"/>
              <w:rPr>
                <w:rFonts w:ascii="Palatino Linotype" w:hAnsi="Palatino Linotype"/>
                <w:sz w:val="22"/>
                <w:szCs w:val="22"/>
              </w:rPr>
            </w:pPr>
            <w:r w:rsidRPr="00D11DAF">
              <w:rPr>
                <w:rFonts w:ascii="Palatino Linotype" w:hAnsi="Palatino Linotype"/>
                <w:sz w:val="22"/>
                <w:szCs w:val="22"/>
              </w:rPr>
              <w:t>Section 12A(a), 12A(b) and 12A(c) of SEBI Act and Regulation 3(a), 3(b), 3(c), 3(d), 4(1), 4(2)(a),  4(2)(b)and  4(2)(e)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40C36" w:rsidRPr="00D11DAF" w:rsidRDefault="00F40C36" w:rsidP="00F40C36">
            <w:pPr>
              <w:jc w:val="right"/>
              <w:rPr>
                <w:rFonts w:ascii="Palatino Linotype" w:hAnsi="Palatino Linotype"/>
                <w:sz w:val="22"/>
                <w:szCs w:val="22"/>
              </w:rPr>
            </w:pPr>
            <w:r w:rsidRPr="00D11DAF">
              <w:rPr>
                <w:rFonts w:ascii="Palatino Linotype" w:hAnsi="Palatino Linotype"/>
                <w:sz w:val="22"/>
                <w:szCs w:val="22"/>
              </w:rPr>
              <w:t>21,00,000</w:t>
            </w:r>
          </w:p>
        </w:tc>
      </w:tr>
    </w:tbl>
    <w:p w:rsidR="00272724" w:rsidRDefault="00272724" w:rsidP="00272724">
      <w:pPr>
        <w:pStyle w:val="ListParagraph"/>
        <w:rPr>
          <w:rFonts w:ascii="Garamond" w:hAnsi="Garamond"/>
          <w:sz w:val="24"/>
          <w:szCs w:val="24"/>
        </w:rPr>
      </w:pPr>
    </w:p>
    <w:p w:rsidR="00272724" w:rsidRPr="00E71481" w:rsidRDefault="00272724" w:rsidP="00272724">
      <w:pPr>
        <w:spacing w:after="120"/>
        <w:rPr>
          <w:rFonts w:ascii="Garamond" w:hAnsi="Garamond"/>
          <w:i/>
          <w:color w:val="0000FF"/>
          <w:sz w:val="18"/>
          <w:u w:val="single"/>
        </w:rPr>
      </w:pPr>
      <w:r>
        <w:rPr>
          <w:rFonts w:ascii="Garamond" w:hAnsi="Garamond" w:cs="Arial"/>
          <w:i/>
          <w:szCs w:val="32"/>
        </w:rPr>
        <w:t xml:space="preserve">Disclaimer: </w:t>
      </w:r>
      <w:r w:rsidR="00D22F0B">
        <w:rPr>
          <w:rFonts w:ascii="Garamond" w:hAnsi="Garamond" w:cs="Arial"/>
          <w:i/>
          <w:szCs w:val="32"/>
        </w:rPr>
        <w:t xml:space="preserve">Regulatory actions consist of orders passed by Whole Time Member/Adjudication Officer.  Please refer SEBI website for exhaustive list.  </w:t>
      </w:r>
      <w:r>
        <w:rPr>
          <w:rFonts w:ascii="Garamond" w:hAnsi="Garamond" w:cs="Arial"/>
          <w:i/>
          <w:szCs w:val="32"/>
        </w:rPr>
        <w:t>The summary has been prepared for the convenience of readers. In case of any ambiguity, please refer to the original order</w:t>
      </w:r>
      <w:r w:rsidRPr="00E71481">
        <w:rPr>
          <w:rFonts w:ascii="Garamond" w:hAnsi="Garamond" w:cs="Arial"/>
          <w:i/>
          <w:szCs w:val="32"/>
        </w:rPr>
        <w:t>.</w:t>
      </w:r>
    </w:p>
    <w:p w:rsidR="00272724" w:rsidRPr="006F32FA" w:rsidRDefault="00272724" w:rsidP="00272724">
      <w:pPr>
        <w:spacing w:after="120"/>
        <w:rPr>
          <w:rStyle w:val="Hyperlink"/>
          <w:rFonts w:ascii="Garamond" w:hAnsi="Garamond"/>
          <w:i/>
          <w:sz w:val="18"/>
        </w:rPr>
      </w:pPr>
    </w:p>
    <w:p w:rsidR="006F32FA" w:rsidRPr="006F32FA" w:rsidRDefault="006F32FA" w:rsidP="00272724">
      <w:pPr>
        <w:shd w:val="clear" w:color="auto" w:fill="FFFFFF"/>
        <w:spacing w:line="276" w:lineRule="auto"/>
        <w:jc w:val="both"/>
        <w:textAlignment w:val="baseline"/>
        <w:rPr>
          <w:rStyle w:val="Hyperlink"/>
          <w:rFonts w:ascii="Garamond" w:hAnsi="Garamond"/>
          <w:i/>
          <w:sz w:val="18"/>
        </w:rPr>
      </w:pPr>
    </w:p>
    <w:sectPr w:rsidR="006F32FA" w:rsidRPr="006F32FA" w:rsidSect="00332F86">
      <w:headerReference w:type="even" r:id="rId50"/>
      <w:headerReference w:type="default" r:id="rId51"/>
      <w:footerReference w:type="even" r:id="rId52"/>
      <w:footerReference w:type="default" r:id="rId53"/>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9CA" w:rsidRDefault="006439CA" w:rsidP="00E07645">
      <w:r>
        <w:separator/>
      </w:r>
    </w:p>
  </w:endnote>
  <w:endnote w:type="continuationSeparator" w:id="0">
    <w:p w:rsidR="006439CA" w:rsidRDefault="006439CA"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Rupe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9CA" w:rsidRDefault="006439CA">
    <w:pPr>
      <w:pStyle w:val="Footer"/>
    </w:pPr>
  </w:p>
  <w:p w:rsidR="006439CA" w:rsidRDefault="006439C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9CA" w:rsidRDefault="006439CA" w:rsidP="00320C82">
    <w:pPr>
      <w:pStyle w:val="Footer"/>
      <w:pBdr>
        <w:top w:val="single" w:sz="4" w:space="1" w:color="D9D9D9"/>
      </w:pBdr>
      <w:jc w:val="right"/>
    </w:pPr>
    <w:r>
      <w:fldChar w:fldCharType="begin"/>
    </w:r>
    <w:r>
      <w:instrText xml:space="preserve"> PAGE   \* MERGEFORMAT </w:instrText>
    </w:r>
    <w:r>
      <w:fldChar w:fldCharType="separate"/>
    </w:r>
    <w:r w:rsidR="0090704E">
      <w:rPr>
        <w:noProof/>
      </w:rPr>
      <w:t>1</w:t>
    </w:r>
    <w:r>
      <w:rPr>
        <w:noProof/>
      </w:rPr>
      <w:fldChar w:fldCharType="end"/>
    </w:r>
    <w:r>
      <w:t xml:space="preserve"> | </w:t>
    </w:r>
    <w:r w:rsidRPr="00601592">
      <w:rPr>
        <w:color w:val="7F7F7F"/>
        <w:spacing w:val="60"/>
      </w:rPr>
      <w:t>Page</w:t>
    </w:r>
  </w:p>
  <w:p w:rsidR="006439CA" w:rsidRDefault="006439CA">
    <w:pPr>
      <w:pStyle w:val="Footer"/>
    </w:pPr>
  </w:p>
  <w:p w:rsidR="006439CA" w:rsidRDefault="006439C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9CA" w:rsidRDefault="006439CA">
    <w:pPr>
      <w:pStyle w:val="Footer"/>
    </w:pPr>
  </w:p>
  <w:p w:rsidR="006439CA" w:rsidRDefault="006439CA"/>
  <w:p w:rsidR="006439CA" w:rsidRDefault="006439C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8751"/>
      <w:docPartObj>
        <w:docPartGallery w:val="Page Numbers (Bottom of Page)"/>
        <w:docPartUnique/>
      </w:docPartObj>
    </w:sdtPr>
    <w:sdtEndPr>
      <w:rPr>
        <w:color w:val="7F7F7F" w:themeColor="background1" w:themeShade="7F"/>
        <w:spacing w:val="60"/>
      </w:rPr>
    </w:sdtEndPr>
    <w:sdtContent>
      <w:p w:rsidR="006439CA" w:rsidRDefault="006439CA">
        <w:pPr>
          <w:pStyle w:val="Footer"/>
          <w:pBdr>
            <w:top w:val="single" w:sz="4" w:space="1" w:color="D9D9D9" w:themeColor="background1" w:themeShade="D9"/>
          </w:pBdr>
          <w:jc w:val="right"/>
        </w:pPr>
        <w:r>
          <w:fldChar w:fldCharType="begin"/>
        </w:r>
        <w:r>
          <w:instrText xml:space="preserve"> PAGE   \* MERGEFORMAT </w:instrText>
        </w:r>
        <w:r>
          <w:fldChar w:fldCharType="separate"/>
        </w:r>
        <w:r w:rsidR="0090704E">
          <w:rPr>
            <w:noProof/>
          </w:rPr>
          <w:t>49</w:t>
        </w:r>
        <w:r>
          <w:rPr>
            <w:noProof/>
          </w:rPr>
          <w:fldChar w:fldCharType="end"/>
        </w:r>
        <w:r>
          <w:t xml:space="preserve"> | </w:t>
        </w:r>
        <w:r>
          <w:rPr>
            <w:color w:val="7F7F7F" w:themeColor="background1" w:themeShade="7F"/>
            <w:spacing w:val="60"/>
          </w:rPr>
          <w:t>Page</w:t>
        </w:r>
      </w:p>
    </w:sdtContent>
  </w:sdt>
  <w:p w:rsidR="006439CA" w:rsidRDefault="006439CA">
    <w:pPr>
      <w:pStyle w:val="Footer"/>
    </w:pPr>
  </w:p>
  <w:p w:rsidR="006439CA" w:rsidRDefault="006439CA"/>
  <w:p w:rsidR="006439CA" w:rsidRDefault="006439C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9CA" w:rsidRDefault="006439CA" w:rsidP="00E07645">
      <w:r>
        <w:separator/>
      </w:r>
    </w:p>
  </w:footnote>
  <w:footnote w:type="continuationSeparator" w:id="0">
    <w:p w:rsidR="006439CA" w:rsidRDefault="006439CA" w:rsidP="00E07645">
      <w:r>
        <w:continuationSeparator/>
      </w:r>
    </w:p>
  </w:footnote>
  <w:footnote w:id="1">
    <w:p w:rsidR="006439CA" w:rsidRPr="005B5517" w:rsidRDefault="006439CA" w:rsidP="002F2984">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it units.</w:t>
      </w:r>
    </w:p>
  </w:footnote>
  <w:footnote w:id="2">
    <w:p w:rsidR="006439CA" w:rsidRDefault="006439CA" w:rsidP="003F4581">
      <w:pPr>
        <w:pStyle w:val="FootnoteText"/>
      </w:pPr>
      <w:r>
        <w:rPr>
          <w:rStyle w:val="FootnoteReference"/>
        </w:rPr>
        <w:footnoteRef/>
      </w:r>
      <w:r>
        <w:t xml:space="preserve"> The growth rates over corresponding period of previous year are to be interpreted considering the unusual</w:t>
      </w:r>
    </w:p>
    <w:p w:rsidR="006439CA" w:rsidRDefault="006439CA" w:rsidP="003F4581">
      <w:pPr>
        <w:pStyle w:val="FootnoteText"/>
      </w:pPr>
      <w:r>
        <w:t>circumstances on account of COVID 19 pandemic since March 2020.</w:t>
      </w:r>
    </w:p>
  </w:footnote>
  <w:footnote w:id="3">
    <w:p w:rsidR="006439CA" w:rsidRDefault="006439CA" w:rsidP="003F4581">
      <w:pPr>
        <w:pStyle w:val="FootnoteText"/>
        <w:jc w:val="both"/>
      </w:pPr>
      <w:r>
        <w:rPr>
          <w:rStyle w:val="FootnoteReference"/>
        </w:rPr>
        <w:footnoteRef/>
      </w:r>
      <w:r>
        <w:t xml:space="preserve"> Based on data available on World Federation of Exchanges as on 02 August 2021. BSE data from WFE has not been included as BSE is no longer providing data to WFE since June 2019.</w:t>
      </w:r>
    </w:p>
  </w:footnote>
  <w:footnote w:id="4">
    <w:p w:rsidR="006439CA" w:rsidRDefault="006439CA" w:rsidP="003F4581">
      <w:pPr>
        <w:pStyle w:val="FootnoteText"/>
      </w:pPr>
      <w:r>
        <w:rPr>
          <w:rStyle w:val="FootnoteReference"/>
        </w:rPr>
        <w:footnoteRef/>
      </w:r>
      <w:r>
        <w:t xml:space="preserve"> </w:t>
      </w:r>
      <w:r w:rsidRPr="000D159E">
        <w:t>Brazil, Russia, India, India, China, South Africa, USA, USA, France, Germany, UK, Hong Kong</w:t>
      </w:r>
      <w:r>
        <w:t>, South Korea, Japan, Singapore and</w:t>
      </w:r>
      <w:r w:rsidRPr="000D159E">
        <w:t xml:space="preserve"> Taiwan</w:t>
      </w:r>
    </w:p>
  </w:footnote>
  <w:footnote w:id="5">
    <w:p w:rsidR="006439CA" w:rsidRDefault="006439CA" w:rsidP="003F4581">
      <w:pPr>
        <w:pStyle w:val="FootnoteText"/>
      </w:pPr>
      <w:r>
        <w:rPr>
          <w:rStyle w:val="FootnoteReference"/>
        </w:rPr>
        <w:footnoteRef/>
      </w:r>
      <w:r>
        <w:t xml:space="preserve"> Germany, Spain, USA, UK, Japan, India, China, Brazil and Russia.</w:t>
      </w:r>
    </w:p>
  </w:footnote>
  <w:footnote w:id="6">
    <w:p w:rsidR="006439CA" w:rsidRDefault="006439CA" w:rsidP="003F4581">
      <w:pPr>
        <w:pStyle w:val="FootnoteText"/>
      </w:pPr>
      <w:r>
        <w:rPr>
          <w:rStyle w:val="FootnoteReference"/>
        </w:rPr>
        <w:footnoteRef/>
      </w:r>
      <w:r>
        <w:t xml:space="preserve"> Data available on as on 02 August 2021 on WFE as submitted by exchanges which are members of WFE,</w:t>
      </w:r>
    </w:p>
  </w:footnote>
  <w:footnote w:id="7">
    <w:p w:rsidR="006439CA" w:rsidRDefault="006439CA" w:rsidP="003F4581">
      <w:pPr>
        <w:pStyle w:val="FootnoteText"/>
      </w:pPr>
      <w:r>
        <w:rPr>
          <w:rStyle w:val="FootnoteReference"/>
        </w:rPr>
        <w:footnoteRef/>
      </w:r>
      <w:r>
        <w:t xml:space="preserve"> USA, UK, Germany, France, Japan, Singapore, Hong Kong, China, Russia, India, S. Korea and Australia.</w:t>
      </w:r>
    </w:p>
  </w:footnote>
  <w:footnote w:id="8">
    <w:p w:rsidR="006439CA" w:rsidRDefault="006439CA" w:rsidP="003F4581">
      <w:pPr>
        <w:pStyle w:val="FootnoteText"/>
      </w:pPr>
      <w:r>
        <w:rPr>
          <w:rStyle w:val="FootnoteReference"/>
        </w:rPr>
        <w:footnoteRef/>
      </w:r>
      <w:r>
        <w:t xml:space="preserve"> </w:t>
      </w:r>
      <w:r w:rsidRPr="003D2887">
        <w:t>Real, Rouble, Rupee, Renminbi, Rand, Won, Pound, Euro, Yen, Franc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9CA" w:rsidRDefault="006439CA">
    <w:pPr>
      <w:pStyle w:val="Header"/>
    </w:pPr>
  </w:p>
  <w:p w:rsidR="006439CA" w:rsidRDefault="006439C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9CA" w:rsidRDefault="009A0062">
    <w:pPr>
      <w:pStyle w:val="Header"/>
    </w:pPr>
    <w:r>
      <w:rPr>
        <w:noProof/>
      </w:rPr>
      <w:pict>
        <v:shapetype id="_x0000_t202" coordsize="21600,21600" o:spt="202" path="m,l,21600r21600,l21600,xe">
          <v:stroke joinstyle="miter"/>
          <v:path gradientshapeok="t" o:connecttype="rect"/>
        </v:shapetype>
        <v:shape id="expertsource_watermark" o:spid="_x0000_s4106" type="#_x0000_t202" style="position:absolute;margin-left:0;margin-top:0;width:406.1pt;height:270.7pt;rotation:-45;z-index:25165926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kA0gIAAM8FAAAOAAAAZHJzL2Uyb0RvYy54bWysVMGOmzAQvVfqP1jcWSCBENCSVZINvWzb&#10;lTbVHisHm+AWsGs7gajqv3dsyGbTXqq2HCwz9ryZefM8t3d9U6MjlYrxNnOCG99BtC04Ye0+cz5t&#10;c3fuIKVxS3DNW5o5J6qcu8XbN7edSOmEV7wmVCIAaVXaicyptBap56miog1WN1zQFg5LLhus4Vfu&#10;PSJxB+hN7U18f+Z1XBIheUGVAuv9cOgsLH5Z0kJ/LEtFNaozB3LTdpV23ZnVW9zidC+xqFgxpoH/&#10;IosGsxaCvkDdY43RQbLfoBpWSK54qW8K3ni8LFlBbQ1QTeD/Us1ThQW1tQA5SrzQpP4fbPHh+CgR&#10;I9A7B7W4gRbRXlCpFT/Ign7usKbAvfxqmOqESsHhSYCL7le8N16maiUeePFVoZavK9zu6VIJYH7A&#10;PJuk5F1FMYHkTajRbEvcngTEtdYt7fWGMOsLEb1XIYf4ygTfde85ARd80Nwm0JeyQZIbt3nim8+a&#10;gV8ESULjTy/NhgCoAGMURHEYw1EBZ9NwGoOjKdLDqUEzZQmp9DvKG2Q2mSOhJguLjw9KD1fPV8x1&#10;QAb7uBu6/z0JJqG/miRuPpvHbpiHkZvE/tz1g2SVzPwwCe/zHwY0CNOKEULbB9bSsxKD8M86Pb6J&#10;QUNWi6jLnCSaRDZfxWtGclbXJjcl97t1LdERmycxcDXUcnVN8kNLwI5T07TNuNeY1cPeu87Y8gYE&#10;XFe/zCM/DqdzN46jqRtON767mudrd7kOZrN4s1qvNsF19Rv7ZtW/E2ATsWDnXr0wPMa4pAwtP/fO&#10;Cs5obFCb7nc9kGBUuOPkBNLrYFZkjvp2wJKCjA/NmgOPoN1S8uYZhtFSGhVa3o04tv0zlmJUkIYw&#10;j/V5VlgZmTz3ZHx6mHwBoKaGEQTtQZEV8tCc8TKkekE1vkos4RHkzOrxkuf4dGBq2DLHCWfG0ut/&#10;e+syhxc/AQAA//8DAFBLAwQUAAYACAAAACEA22D4ENsAAAAFAQAADwAAAGRycy9kb3ducmV2Lnht&#10;bEyPzU7DMBCE70i8g7VI3KiTUFAV4lSIiEOP/RFnN94mAXsdYqdJeXoWLnBZaTSjmW+L9eysOOMQ&#10;Ok8K0kUCAqn2pqNGwWH/ercCEaImo60nVHDBAOvy+qrQufETbfG8i43gEgq5VtDG2OdShrpFp8PC&#10;90jsnfzgdGQ5NNIMeuJyZ2WWJI/S6Y54odU9vrRYf+xGp8B8nS79/TTtN5ttNX7arqrw7V2p25v5&#10;+QlExDn+heEHn9GhZKajH8kEYRXwI/H3srdKswzEUcHDMl2CLAv5n778BgAA//8DAFBLAQItABQA&#10;BgAIAAAAIQC2gziS/gAAAOEBAAATAAAAAAAAAAAAAAAAAAAAAABbQ29udGVudF9UeXBlc10ueG1s&#10;UEsBAi0AFAAGAAgAAAAhADj9If/WAAAAlAEAAAsAAAAAAAAAAAAAAAAALwEAAF9yZWxzLy5yZWxz&#10;UEsBAi0AFAAGAAgAAAAhAMbk2QDSAgAAzwUAAA4AAAAAAAAAAAAAAAAALgIAAGRycy9lMm9Eb2Mu&#10;eG1sUEsBAi0AFAAGAAgAAAAhANtg+BDbAAAABQEAAA8AAAAAAAAAAAAAAAAALAUAAGRycy9kb3du&#10;cmV2LnhtbFBLBQYAAAAABAAEAPMAAAA0BgAAAAA=&#10;" filled="f" stroked="f">
          <v:stroke joinstyle="round"/>
          <o:lock v:ext="edit" aspectratio="t" shapetype="t"/>
          <v:textbox style="mso-fit-shape-to-text:t">
            <w:txbxContent>
              <w:p w:rsidR="006439CA" w:rsidRDefault="006439CA" w:rsidP="00320C82">
                <w:pPr>
                  <w:pStyle w:val="NormalWeb"/>
                  <w:spacing w:before="0" w:beforeAutospacing="0" w:after="0" w:afterAutospacing="0"/>
                  <w:jc w:val="center"/>
                </w:pPr>
                <w:r w:rsidRPr="00996EC6">
                  <w:rPr>
                    <w:color w:val="C0C0C0"/>
                    <w:sz w:val="2"/>
                    <w:szCs w:val="2"/>
                  </w:rPr>
                  <w:t xml:space="preserve">   </w:t>
                </w:r>
              </w:p>
            </w:txbxContent>
          </v:textbox>
          <w10:wrap anchorx="margin" anchory="margin"/>
        </v:shape>
      </w:pict>
    </w:r>
  </w:p>
  <w:p w:rsidR="006439CA" w:rsidRDefault="006439C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9CA" w:rsidRDefault="006439CA">
    <w:pPr>
      <w:pStyle w:val="Header"/>
    </w:pPr>
  </w:p>
  <w:p w:rsidR="006439CA" w:rsidRDefault="006439CA"/>
  <w:p w:rsidR="006439CA" w:rsidRDefault="006439CA"/>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9CA" w:rsidRDefault="006439CA">
    <w:pPr>
      <w:pStyle w:val="Header"/>
    </w:pPr>
  </w:p>
  <w:p w:rsidR="006439CA" w:rsidRDefault="006439CA"/>
  <w:p w:rsidR="006439CA" w:rsidRDefault="006439C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2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2C"/>
    <w:multiLevelType w:val="hybridMultilevel"/>
    <w:tmpl w:val="EEA0001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7980DCB"/>
    <w:multiLevelType w:val="hybridMultilevel"/>
    <w:tmpl w:val="FF2E17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AD537F"/>
    <w:multiLevelType w:val="hybridMultilevel"/>
    <w:tmpl w:val="00D8A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9F384B"/>
    <w:multiLevelType w:val="hybridMultilevel"/>
    <w:tmpl w:val="CD7CC59E"/>
    <w:lvl w:ilvl="0" w:tplc="09765F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8193A3E"/>
    <w:multiLevelType w:val="hybridMultilevel"/>
    <w:tmpl w:val="40AC5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E427DF"/>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D2D7D95"/>
    <w:multiLevelType w:val="hybridMultilevel"/>
    <w:tmpl w:val="40FA3CD6"/>
    <w:lvl w:ilvl="0" w:tplc="1DBAE696">
      <w:start w:val="1"/>
      <w:numFmt w:val="decimal"/>
      <w:lvlText w:val="%1."/>
      <w:lvlJc w:val="left"/>
      <w:pPr>
        <w:ind w:left="644" w:hanging="360"/>
      </w:pPr>
      <w:rPr>
        <w:b w:val="0"/>
        <w:bCs/>
        <w:strike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2F010AE"/>
    <w:multiLevelType w:val="hybridMultilevel"/>
    <w:tmpl w:val="48F8C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2FC48A6"/>
    <w:multiLevelType w:val="hybridMultilevel"/>
    <w:tmpl w:val="AACCC5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64439A5"/>
    <w:multiLevelType w:val="hybridMultilevel"/>
    <w:tmpl w:val="47CCC6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2740796C"/>
    <w:multiLevelType w:val="hybridMultilevel"/>
    <w:tmpl w:val="F7F40D22"/>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2" w15:restartNumberingAfterBreak="0">
    <w:nsid w:val="29DE67C3"/>
    <w:multiLevelType w:val="hybridMultilevel"/>
    <w:tmpl w:val="DB027F3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23" w15:restartNumberingAfterBreak="0">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49255A"/>
    <w:multiLevelType w:val="hybridMultilevel"/>
    <w:tmpl w:val="E850E076"/>
    <w:lvl w:ilvl="0" w:tplc="5AC22932">
      <w:numFmt w:val="bullet"/>
      <w:lvlText w:val=""/>
      <w:lvlJc w:val="left"/>
      <w:pPr>
        <w:ind w:left="1080" w:hanging="360"/>
      </w:pPr>
      <w:rPr>
        <w:rFonts w:ascii="Symbol" w:eastAsia="Palatino Linotype" w:hAnsi="Symbol" w:cs="Palatino Linotype"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2FFF7518"/>
    <w:multiLevelType w:val="hybridMultilevel"/>
    <w:tmpl w:val="B348728C"/>
    <w:lvl w:ilvl="0" w:tplc="40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31764998"/>
    <w:multiLevelType w:val="hybridMultilevel"/>
    <w:tmpl w:val="019647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C0F54B8"/>
    <w:multiLevelType w:val="hybridMultilevel"/>
    <w:tmpl w:val="E1F4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597F73"/>
    <w:multiLevelType w:val="hybridMultilevel"/>
    <w:tmpl w:val="B4C0D452"/>
    <w:lvl w:ilvl="0" w:tplc="FB188760">
      <w:start w:val="1"/>
      <w:numFmt w:val="upperLetter"/>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3B529E0"/>
    <w:multiLevelType w:val="hybridMultilevel"/>
    <w:tmpl w:val="3F9A40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699105C"/>
    <w:multiLevelType w:val="hybridMultilevel"/>
    <w:tmpl w:val="9926BFE6"/>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32" w15:restartNumberingAfterBreak="0">
    <w:nsid w:val="46A26950"/>
    <w:multiLevelType w:val="hybridMultilevel"/>
    <w:tmpl w:val="8B9C8214"/>
    <w:lvl w:ilvl="0" w:tplc="F5E02960">
      <w:start w:val="1"/>
      <w:numFmt w:val="decimal"/>
      <w:lvlText w:val="%1."/>
      <w:lvlJc w:val="left"/>
      <w:pPr>
        <w:ind w:left="720" w:hanging="360"/>
      </w:pPr>
      <w:rPr>
        <w:rFonts w:ascii="Garamond" w:hAnsi="Garamond"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27B0595"/>
    <w:multiLevelType w:val="hybridMultilevel"/>
    <w:tmpl w:val="9C1AF802"/>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35" w15:restartNumberingAfterBreak="0">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28E336F"/>
    <w:multiLevelType w:val="hybridMultilevel"/>
    <w:tmpl w:val="D8D293A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69C876C4"/>
    <w:multiLevelType w:val="hybridMultilevel"/>
    <w:tmpl w:val="31503516"/>
    <w:lvl w:ilvl="0" w:tplc="306E79D4">
      <w:numFmt w:val="bullet"/>
      <w:lvlText w:val="-"/>
      <w:lvlJc w:val="left"/>
      <w:pPr>
        <w:ind w:left="1080" w:hanging="360"/>
      </w:pPr>
      <w:rPr>
        <w:rFonts w:ascii="Palatino Linotype" w:eastAsiaTheme="minorHAnsi" w:hAnsi="Palatino Linotype"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15:restartNumberingAfterBreak="0">
    <w:nsid w:val="71436DB5"/>
    <w:multiLevelType w:val="hybridMultilevel"/>
    <w:tmpl w:val="51523B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7"/>
  </w:num>
  <w:num w:numId="2">
    <w:abstractNumId w:val="37"/>
  </w:num>
  <w:num w:numId="3">
    <w:abstractNumId w:val="8"/>
  </w:num>
  <w:num w:numId="4">
    <w:abstractNumId w:val="17"/>
  </w:num>
  <w:num w:numId="5">
    <w:abstractNumId w:val="3"/>
  </w:num>
  <w:num w:numId="6">
    <w:abstractNumId w:val="1"/>
  </w:num>
  <w:num w:numId="7">
    <w:abstractNumId w:val="2"/>
  </w:num>
  <w:num w:numId="8">
    <w:abstractNumId w:val="0"/>
  </w:num>
  <w:num w:numId="9">
    <w:abstractNumId w:val="13"/>
  </w:num>
  <w:num w:numId="10">
    <w:abstractNumId w:val="14"/>
  </w:num>
  <w:num w:numId="11">
    <w:abstractNumId w:val="28"/>
  </w:num>
  <w:num w:numId="12">
    <w:abstractNumId w:val="15"/>
  </w:num>
  <w:num w:numId="13">
    <w:abstractNumId w:val="36"/>
  </w:num>
  <w:num w:numId="14">
    <w:abstractNumId w:val="39"/>
  </w:num>
  <w:num w:numId="15">
    <w:abstractNumId w:val="16"/>
  </w:num>
  <w:num w:numId="16">
    <w:abstractNumId w:val="38"/>
  </w:num>
  <w:num w:numId="17">
    <w:abstractNumId w:val="21"/>
  </w:num>
  <w:num w:numId="18">
    <w:abstractNumId w:val="30"/>
  </w:num>
  <w:num w:numId="19">
    <w:abstractNumId w:val="5"/>
  </w:num>
  <w:num w:numId="20">
    <w:abstractNumId w:val="33"/>
  </w:num>
  <w:num w:numId="21">
    <w:abstractNumId w:val="35"/>
  </w:num>
  <w:num w:numId="22">
    <w:abstractNumId w:val="23"/>
  </w:num>
  <w:num w:numId="23">
    <w:abstractNumId w:val="12"/>
  </w:num>
  <w:num w:numId="24">
    <w:abstractNumId w:val="40"/>
  </w:num>
  <w:num w:numId="25">
    <w:abstractNumId w:val="4"/>
  </w:num>
  <w:num w:numId="26">
    <w:abstractNumId w:val="18"/>
  </w:num>
  <w:num w:numId="27">
    <w:abstractNumId w:val="19"/>
  </w:num>
  <w:num w:numId="28">
    <w:abstractNumId w:val="10"/>
  </w:num>
  <w:num w:numId="29">
    <w:abstractNumId w:val="25"/>
  </w:num>
  <w:num w:numId="30">
    <w:abstractNumId w:val="32"/>
  </w:num>
  <w:num w:numId="31">
    <w:abstractNumId w:val="26"/>
  </w:num>
  <w:num w:numId="32">
    <w:abstractNumId w:val="27"/>
  </w:num>
  <w:num w:numId="33">
    <w:abstractNumId w:val="22"/>
  </w:num>
  <w:num w:numId="34">
    <w:abstractNumId w:val="34"/>
  </w:num>
  <w:num w:numId="35">
    <w:abstractNumId w:val="29"/>
  </w:num>
  <w:num w:numId="36">
    <w:abstractNumId w:val="11"/>
  </w:num>
  <w:num w:numId="37">
    <w:abstractNumId w:val="24"/>
  </w:num>
  <w:num w:numId="38">
    <w:abstractNumId w:val="9"/>
  </w:num>
  <w:num w:numId="39">
    <w:abstractNumId w:val="20"/>
  </w:num>
  <w:num w:numId="40">
    <w:abstractNumId w:val="31"/>
  </w:num>
  <w:num w:numId="4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10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2FAA"/>
    <w:rsid w:val="000133EA"/>
    <w:rsid w:val="00013A01"/>
    <w:rsid w:val="00013BA3"/>
    <w:rsid w:val="000145C6"/>
    <w:rsid w:val="000161B3"/>
    <w:rsid w:val="000174DC"/>
    <w:rsid w:val="000211A2"/>
    <w:rsid w:val="000216DD"/>
    <w:rsid w:val="00022868"/>
    <w:rsid w:val="000243DB"/>
    <w:rsid w:val="000243E1"/>
    <w:rsid w:val="000254CD"/>
    <w:rsid w:val="000256C7"/>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556EC"/>
    <w:rsid w:val="00057D3C"/>
    <w:rsid w:val="00062D7C"/>
    <w:rsid w:val="00062F4A"/>
    <w:rsid w:val="00063FF5"/>
    <w:rsid w:val="00065CF0"/>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083"/>
    <w:rsid w:val="0008421C"/>
    <w:rsid w:val="000847BB"/>
    <w:rsid w:val="00084FB3"/>
    <w:rsid w:val="000859EF"/>
    <w:rsid w:val="00085A8E"/>
    <w:rsid w:val="0008687B"/>
    <w:rsid w:val="00086BF6"/>
    <w:rsid w:val="00087B33"/>
    <w:rsid w:val="00090A9B"/>
    <w:rsid w:val="00090DEF"/>
    <w:rsid w:val="00091168"/>
    <w:rsid w:val="00091E37"/>
    <w:rsid w:val="000920E5"/>
    <w:rsid w:val="00092887"/>
    <w:rsid w:val="000946C2"/>
    <w:rsid w:val="000960B9"/>
    <w:rsid w:val="0009614C"/>
    <w:rsid w:val="0009638E"/>
    <w:rsid w:val="000A047F"/>
    <w:rsid w:val="000A0816"/>
    <w:rsid w:val="000A142F"/>
    <w:rsid w:val="000A19FF"/>
    <w:rsid w:val="000A2F76"/>
    <w:rsid w:val="000A34B6"/>
    <w:rsid w:val="000A37CE"/>
    <w:rsid w:val="000A47E6"/>
    <w:rsid w:val="000A4D70"/>
    <w:rsid w:val="000A7141"/>
    <w:rsid w:val="000B0A37"/>
    <w:rsid w:val="000B0DD6"/>
    <w:rsid w:val="000B27CD"/>
    <w:rsid w:val="000B2BC5"/>
    <w:rsid w:val="000B4450"/>
    <w:rsid w:val="000B5449"/>
    <w:rsid w:val="000B5935"/>
    <w:rsid w:val="000B6B00"/>
    <w:rsid w:val="000B7BC0"/>
    <w:rsid w:val="000B7FBD"/>
    <w:rsid w:val="000C02A3"/>
    <w:rsid w:val="000C0C5B"/>
    <w:rsid w:val="000C1CD7"/>
    <w:rsid w:val="000C1D79"/>
    <w:rsid w:val="000C1EA0"/>
    <w:rsid w:val="000C23CE"/>
    <w:rsid w:val="000C3C7D"/>
    <w:rsid w:val="000C5949"/>
    <w:rsid w:val="000C5AA9"/>
    <w:rsid w:val="000C6063"/>
    <w:rsid w:val="000C677F"/>
    <w:rsid w:val="000C69C1"/>
    <w:rsid w:val="000D1A21"/>
    <w:rsid w:val="000D2FD5"/>
    <w:rsid w:val="000D4C7F"/>
    <w:rsid w:val="000D66B0"/>
    <w:rsid w:val="000E03A6"/>
    <w:rsid w:val="000E0833"/>
    <w:rsid w:val="000E0D86"/>
    <w:rsid w:val="000E125F"/>
    <w:rsid w:val="000E1FA1"/>
    <w:rsid w:val="000E2A6E"/>
    <w:rsid w:val="000E33A1"/>
    <w:rsid w:val="000E3746"/>
    <w:rsid w:val="000E3A95"/>
    <w:rsid w:val="000E46BB"/>
    <w:rsid w:val="000E4795"/>
    <w:rsid w:val="000E4C9B"/>
    <w:rsid w:val="000E7329"/>
    <w:rsid w:val="000E76D0"/>
    <w:rsid w:val="000E76FF"/>
    <w:rsid w:val="000E777A"/>
    <w:rsid w:val="000E7AC9"/>
    <w:rsid w:val="000F02FB"/>
    <w:rsid w:val="000F0612"/>
    <w:rsid w:val="000F0BF4"/>
    <w:rsid w:val="000F17E5"/>
    <w:rsid w:val="000F236F"/>
    <w:rsid w:val="000F28BC"/>
    <w:rsid w:val="000F3F0C"/>
    <w:rsid w:val="000F4124"/>
    <w:rsid w:val="000F464D"/>
    <w:rsid w:val="000F55A8"/>
    <w:rsid w:val="000F5AAF"/>
    <w:rsid w:val="000F6775"/>
    <w:rsid w:val="000F7372"/>
    <w:rsid w:val="000F7C8D"/>
    <w:rsid w:val="000F7F35"/>
    <w:rsid w:val="00100264"/>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09EA"/>
    <w:rsid w:val="00112036"/>
    <w:rsid w:val="00112407"/>
    <w:rsid w:val="00113363"/>
    <w:rsid w:val="00113380"/>
    <w:rsid w:val="00114AC5"/>
    <w:rsid w:val="00114B6F"/>
    <w:rsid w:val="00114C90"/>
    <w:rsid w:val="001155EB"/>
    <w:rsid w:val="001164CA"/>
    <w:rsid w:val="0011654B"/>
    <w:rsid w:val="001212CB"/>
    <w:rsid w:val="00123543"/>
    <w:rsid w:val="0012367A"/>
    <w:rsid w:val="00124B1E"/>
    <w:rsid w:val="001254B4"/>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5DE"/>
    <w:rsid w:val="00175977"/>
    <w:rsid w:val="00175A49"/>
    <w:rsid w:val="00175C02"/>
    <w:rsid w:val="00177824"/>
    <w:rsid w:val="00177BD1"/>
    <w:rsid w:val="00177C4A"/>
    <w:rsid w:val="0018049A"/>
    <w:rsid w:val="001816BF"/>
    <w:rsid w:val="0018197C"/>
    <w:rsid w:val="00182965"/>
    <w:rsid w:val="0018378C"/>
    <w:rsid w:val="00183E80"/>
    <w:rsid w:val="001847A1"/>
    <w:rsid w:val="00184C5B"/>
    <w:rsid w:val="00184D09"/>
    <w:rsid w:val="0018502D"/>
    <w:rsid w:val="001868D6"/>
    <w:rsid w:val="00186E61"/>
    <w:rsid w:val="001912C3"/>
    <w:rsid w:val="00191B9C"/>
    <w:rsid w:val="0019305B"/>
    <w:rsid w:val="001932A2"/>
    <w:rsid w:val="00193EFB"/>
    <w:rsid w:val="0019451C"/>
    <w:rsid w:val="00194F88"/>
    <w:rsid w:val="001961E8"/>
    <w:rsid w:val="00196267"/>
    <w:rsid w:val="0019787A"/>
    <w:rsid w:val="001A054F"/>
    <w:rsid w:val="001A0B06"/>
    <w:rsid w:val="001A2361"/>
    <w:rsid w:val="001A3018"/>
    <w:rsid w:val="001A3156"/>
    <w:rsid w:val="001A375B"/>
    <w:rsid w:val="001A42AC"/>
    <w:rsid w:val="001A5A37"/>
    <w:rsid w:val="001A5E17"/>
    <w:rsid w:val="001A61B6"/>
    <w:rsid w:val="001A6439"/>
    <w:rsid w:val="001A697A"/>
    <w:rsid w:val="001A7518"/>
    <w:rsid w:val="001A7D69"/>
    <w:rsid w:val="001A7DC2"/>
    <w:rsid w:val="001B1D3E"/>
    <w:rsid w:val="001B2693"/>
    <w:rsid w:val="001B279D"/>
    <w:rsid w:val="001B44E2"/>
    <w:rsid w:val="001B4C10"/>
    <w:rsid w:val="001B5B2F"/>
    <w:rsid w:val="001B5BFF"/>
    <w:rsid w:val="001B7218"/>
    <w:rsid w:val="001B7FD3"/>
    <w:rsid w:val="001C0933"/>
    <w:rsid w:val="001C0BB1"/>
    <w:rsid w:val="001C0BDA"/>
    <w:rsid w:val="001C2441"/>
    <w:rsid w:val="001C3230"/>
    <w:rsid w:val="001C4EE9"/>
    <w:rsid w:val="001C5DA4"/>
    <w:rsid w:val="001C637A"/>
    <w:rsid w:val="001C7B26"/>
    <w:rsid w:val="001C7B28"/>
    <w:rsid w:val="001D04F5"/>
    <w:rsid w:val="001D093A"/>
    <w:rsid w:val="001D0BCA"/>
    <w:rsid w:val="001D1729"/>
    <w:rsid w:val="001D2CA3"/>
    <w:rsid w:val="001D4399"/>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133"/>
    <w:rsid w:val="00207654"/>
    <w:rsid w:val="002101C9"/>
    <w:rsid w:val="00210EF0"/>
    <w:rsid w:val="00212565"/>
    <w:rsid w:val="002135D8"/>
    <w:rsid w:val="002140C5"/>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1F1"/>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67E"/>
    <w:rsid w:val="00267A7C"/>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3974"/>
    <w:rsid w:val="00284BC2"/>
    <w:rsid w:val="00284E34"/>
    <w:rsid w:val="002852AB"/>
    <w:rsid w:val="002853A4"/>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51F7"/>
    <w:rsid w:val="002A54FF"/>
    <w:rsid w:val="002A6544"/>
    <w:rsid w:val="002A7477"/>
    <w:rsid w:val="002A7A64"/>
    <w:rsid w:val="002A7D0C"/>
    <w:rsid w:val="002B0029"/>
    <w:rsid w:val="002B0E62"/>
    <w:rsid w:val="002B13B8"/>
    <w:rsid w:val="002B2515"/>
    <w:rsid w:val="002B2FED"/>
    <w:rsid w:val="002B402D"/>
    <w:rsid w:val="002B6143"/>
    <w:rsid w:val="002B769A"/>
    <w:rsid w:val="002C0082"/>
    <w:rsid w:val="002C0CF3"/>
    <w:rsid w:val="002C1136"/>
    <w:rsid w:val="002C1200"/>
    <w:rsid w:val="002C2400"/>
    <w:rsid w:val="002C2CFE"/>
    <w:rsid w:val="002C3645"/>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984"/>
    <w:rsid w:val="002F2F21"/>
    <w:rsid w:val="002F3AF7"/>
    <w:rsid w:val="002F41CD"/>
    <w:rsid w:val="002F70EB"/>
    <w:rsid w:val="002F71DF"/>
    <w:rsid w:val="0030004F"/>
    <w:rsid w:val="00300262"/>
    <w:rsid w:val="00301C6A"/>
    <w:rsid w:val="0030208E"/>
    <w:rsid w:val="00302629"/>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402"/>
    <w:rsid w:val="00314ED5"/>
    <w:rsid w:val="00315CB7"/>
    <w:rsid w:val="0031610E"/>
    <w:rsid w:val="003162C3"/>
    <w:rsid w:val="00316405"/>
    <w:rsid w:val="00317D01"/>
    <w:rsid w:val="0032036A"/>
    <w:rsid w:val="00320C82"/>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32B"/>
    <w:rsid w:val="00397E98"/>
    <w:rsid w:val="003A17FF"/>
    <w:rsid w:val="003A21E5"/>
    <w:rsid w:val="003A297D"/>
    <w:rsid w:val="003A2BF9"/>
    <w:rsid w:val="003A331B"/>
    <w:rsid w:val="003A3BEA"/>
    <w:rsid w:val="003A48C5"/>
    <w:rsid w:val="003A4AC6"/>
    <w:rsid w:val="003A4BE3"/>
    <w:rsid w:val="003A5FB5"/>
    <w:rsid w:val="003B0D0B"/>
    <w:rsid w:val="003B1065"/>
    <w:rsid w:val="003B16D2"/>
    <w:rsid w:val="003B1DAD"/>
    <w:rsid w:val="003B1F08"/>
    <w:rsid w:val="003B2AA2"/>
    <w:rsid w:val="003B2FD2"/>
    <w:rsid w:val="003B5D3E"/>
    <w:rsid w:val="003B6169"/>
    <w:rsid w:val="003B6B7F"/>
    <w:rsid w:val="003B6CA4"/>
    <w:rsid w:val="003B7137"/>
    <w:rsid w:val="003C0053"/>
    <w:rsid w:val="003C03E0"/>
    <w:rsid w:val="003C05C5"/>
    <w:rsid w:val="003C1892"/>
    <w:rsid w:val="003C2CFF"/>
    <w:rsid w:val="003C2E75"/>
    <w:rsid w:val="003C2E80"/>
    <w:rsid w:val="003C3AA0"/>
    <w:rsid w:val="003C3DD7"/>
    <w:rsid w:val="003C4496"/>
    <w:rsid w:val="003C51EB"/>
    <w:rsid w:val="003C6A4A"/>
    <w:rsid w:val="003C70B1"/>
    <w:rsid w:val="003C728F"/>
    <w:rsid w:val="003D15FC"/>
    <w:rsid w:val="003D192D"/>
    <w:rsid w:val="003D1C08"/>
    <w:rsid w:val="003D1EB4"/>
    <w:rsid w:val="003D2B66"/>
    <w:rsid w:val="003D31FD"/>
    <w:rsid w:val="003D3C28"/>
    <w:rsid w:val="003D3F72"/>
    <w:rsid w:val="003D42E3"/>
    <w:rsid w:val="003D5C27"/>
    <w:rsid w:val="003D77FA"/>
    <w:rsid w:val="003D7F47"/>
    <w:rsid w:val="003E0D79"/>
    <w:rsid w:val="003E0F9F"/>
    <w:rsid w:val="003E14ED"/>
    <w:rsid w:val="003E1821"/>
    <w:rsid w:val="003E1929"/>
    <w:rsid w:val="003E5A8A"/>
    <w:rsid w:val="003E5D13"/>
    <w:rsid w:val="003E61D3"/>
    <w:rsid w:val="003E63F8"/>
    <w:rsid w:val="003E6B8D"/>
    <w:rsid w:val="003E70CB"/>
    <w:rsid w:val="003E71C8"/>
    <w:rsid w:val="003F0D78"/>
    <w:rsid w:val="003F139B"/>
    <w:rsid w:val="003F1FB2"/>
    <w:rsid w:val="003F2F76"/>
    <w:rsid w:val="003F384D"/>
    <w:rsid w:val="003F3A95"/>
    <w:rsid w:val="003F3BBB"/>
    <w:rsid w:val="003F4581"/>
    <w:rsid w:val="003F537A"/>
    <w:rsid w:val="003F5475"/>
    <w:rsid w:val="003F560E"/>
    <w:rsid w:val="003F5A24"/>
    <w:rsid w:val="003F5BB2"/>
    <w:rsid w:val="003F5EDA"/>
    <w:rsid w:val="003F62E0"/>
    <w:rsid w:val="003F643D"/>
    <w:rsid w:val="003F653C"/>
    <w:rsid w:val="003F6B61"/>
    <w:rsid w:val="003F6E33"/>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86F"/>
    <w:rsid w:val="004139A3"/>
    <w:rsid w:val="00413BE4"/>
    <w:rsid w:val="0041405E"/>
    <w:rsid w:val="004140D0"/>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3EDC"/>
    <w:rsid w:val="00454200"/>
    <w:rsid w:val="00454BBE"/>
    <w:rsid w:val="00455CC2"/>
    <w:rsid w:val="0045638C"/>
    <w:rsid w:val="00457A73"/>
    <w:rsid w:val="00460B5A"/>
    <w:rsid w:val="00462BB7"/>
    <w:rsid w:val="0046376B"/>
    <w:rsid w:val="00465207"/>
    <w:rsid w:val="0046520C"/>
    <w:rsid w:val="00467125"/>
    <w:rsid w:val="00470C37"/>
    <w:rsid w:val="00470E75"/>
    <w:rsid w:val="00471819"/>
    <w:rsid w:val="00471C73"/>
    <w:rsid w:val="00473AB6"/>
    <w:rsid w:val="00474CDF"/>
    <w:rsid w:val="00474EEE"/>
    <w:rsid w:val="00475B6F"/>
    <w:rsid w:val="00475EA5"/>
    <w:rsid w:val="00476049"/>
    <w:rsid w:val="00476DC3"/>
    <w:rsid w:val="00477023"/>
    <w:rsid w:val="004776F0"/>
    <w:rsid w:val="0048108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44C0"/>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D03BA"/>
    <w:rsid w:val="004D20E5"/>
    <w:rsid w:val="004D2766"/>
    <w:rsid w:val="004D4942"/>
    <w:rsid w:val="004D5075"/>
    <w:rsid w:val="004D681F"/>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4166"/>
    <w:rsid w:val="00506ADA"/>
    <w:rsid w:val="00506DC6"/>
    <w:rsid w:val="0051010F"/>
    <w:rsid w:val="0051191E"/>
    <w:rsid w:val="00512441"/>
    <w:rsid w:val="00512785"/>
    <w:rsid w:val="00512839"/>
    <w:rsid w:val="00513E19"/>
    <w:rsid w:val="0051508B"/>
    <w:rsid w:val="00515FF5"/>
    <w:rsid w:val="0051670E"/>
    <w:rsid w:val="005179F5"/>
    <w:rsid w:val="00517AB4"/>
    <w:rsid w:val="00520349"/>
    <w:rsid w:val="005209F9"/>
    <w:rsid w:val="00522769"/>
    <w:rsid w:val="005228CE"/>
    <w:rsid w:val="00523195"/>
    <w:rsid w:val="0052378B"/>
    <w:rsid w:val="00523C6B"/>
    <w:rsid w:val="0052445F"/>
    <w:rsid w:val="00526A07"/>
    <w:rsid w:val="00527C0B"/>
    <w:rsid w:val="00530099"/>
    <w:rsid w:val="005308BB"/>
    <w:rsid w:val="00531BA9"/>
    <w:rsid w:val="00532DCC"/>
    <w:rsid w:val="0053331A"/>
    <w:rsid w:val="00533DA0"/>
    <w:rsid w:val="00534667"/>
    <w:rsid w:val="005363D6"/>
    <w:rsid w:val="005364CA"/>
    <w:rsid w:val="0053744E"/>
    <w:rsid w:val="00537FE9"/>
    <w:rsid w:val="00540E3D"/>
    <w:rsid w:val="00540F6D"/>
    <w:rsid w:val="005430DE"/>
    <w:rsid w:val="0054408A"/>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C6B"/>
    <w:rsid w:val="00564999"/>
    <w:rsid w:val="00566E49"/>
    <w:rsid w:val="00566F45"/>
    <w:rsid w:val="005675F7"/>
    <w:rsid w:val="005676F5"/>
    <w:rsid w:val="005678B7"/>
    <w:rsid w:val="00567B61"/>
    <w:rsid w:val="00570AC0"/>
    <w:rsid w:val="00571F07"/>
    <w:rsid w:val="00573059"/>
    <w:rsid w:val="00574D67"/>
    <w:rsid w:val="00575F0D"/>
    <w:rsid w:val="005762E0"/>
    <w:rsid w:val="00576EC5"/>
    <w:rsid w:val="0058047E"/>
    <w:rsid w:val="00580563"/>
    <w:rsid w:val="005805C0"/>
    <w:rsid w:val="00580980"/>
    <w:rsid w:val="00580E45"/>
    <w:rsid w:val="0058176C"/>
    <w:rsid w:val="00581BF7"/>
    <w:rsid w:val="00582027"/>
    <w:rsid w:val="005822ED"/>
    <w:rsid w:val="00582803"/>
    <w:rsid w:val="0058376D"/>
    <w:rsid w:val="00583ADF"/>
    <w:rsid w:val="00583B02"/>
    <w:rsid w:val="00584C53"/>
    <w:rsid w:val="00586AF5"/>
    <w:rsid w:val="00586C1B"/>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2A2"/>
    <w:rsid w:val="005B240B"/>
    <w:rsid w:val="005B325C"/>
    <w:rsid w:val="005B3403"/>
    <w:rsid w:val="005B500E"/>
    <w:rsid w:val="005B5428"/>
    <w:rsid w:val="005B5BF1"/>
    <w:rsid w:val="005B5C45"/>
    <w:rsid w:val="005B7799"/>
    <w:rsid w:val="005C0936"/>
    <w:rsid w:val="005C0C45"/>
    <w:rsid w:val="005C1A9B"/>
    <w:rsid w:val="005C1AF4"/>
    <w:rsid w:val="005C375D"/>
    <w:rsid w:val="005C4914"/>
    <w:rsid w:val="005C5303"/>
    <w:rsid w:val="005C5499"/>
    <w:rsid w:val="005C6219"/>
    <w:rsid w:val="005C6540"/>
    <w:rsid w:val="005C7FB6"/>
    <w:rsid w:val="005D07CE"/>
    <w:rsid w:val="005D10C7"/>
    <w:rsid w:val="005D397F"/>
    <w:rsid w:val="005D5970"/>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73B"/>
    <w:rsid w:val="005F3B5C"/>
    <w:rsid w:val="005F3D2C"/>
    <w:rsid w:val="005F443A"/>
    <w:rsid w:val="005F4FFF"/>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02C"/>
    <w:rsid w:val="00606689"/>
    <w:rsid w:val="00606E35"/>
    <w:rsid w:val="006100DD"/>
    <w:rsid w:val="0061099B"/>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0831"/>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39CA"/>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637B"/>
    <w:rsid w:val="00657483"/>
    <w:rsid w:val="00657566"/>
    <w:rsid w:val="006609BA"/>
    <w:rsid w:val="00660B5A"/>
    <w:rsid w:val="00660BB8"/>
    <w:rsid w:val="0066206E"/>
    <w:rsid w:val="006639C3"/>
    <w:rsid w:val="00665D17"/>
    <w:rsid w:val="0066762D"/>
    <w:rsid w:val="006677F4"/>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87751"/>
    <w:rsid w:val="006902D1"/>
    <w:rsid w:val="00690A86"/>
    <w:rsid w:val="00690B95"/>
    <w:rsid w:val="00691339"/>
    <w:rsid w:val="00692DA4"/>
    <w:rsid w:val="00694264"/>
    <w:rsid w:val="00694899"/>
    <w:rsid w:val="00695284"/>
    <w:rsid w:val="0069528D"/>
    <w:rsid w:val="00695903"/>
    <w:rsid w:val="00697250"/>
    <w:rsid w:val="00697927"/>
    <w:rsid w:val="006A0BB3"/>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B79C9"/>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6F730C"/>
    <w:rsid w:val="007040D9"/>
    <w:rsid w:val="00704255"/>
    <w:rsid w:val="00705B35"/>
    <w:rsid w:val="00706036"/>
    <w:rsid w:val="00706CB2"/>
    <w:rsid w:val="00707D06"/>
    <w:rsid w:val="007105B1"/>
    <w:rsid w:val="00711718"/>
    <w:rsid w:val="00713267"/>
    <w:rsid w:val="00713E40"/>
    <w:rsid w:val="00714637"/>
    <w:rsid w:val="007147ED"/>
    <w:rsid w:val="00715C48"/>
    <w:rsid w:val="00715FE7"/>
    <w:rsid w:val="00717204"/>
    <w:rsid w:val="00720132"/>
    <w:rsid w:val="00720C83"/>
    <w:rsid w:val="007218DE"/>
    <w:rsid w:val="007225EE"/>
    <w:rsid w:val="00722972"/>
    <w:rsid w:val="007251BD"/>
    <w:rsid w:val="0072521F"/>
    <w:rsid w:val="00726493"/>
    <w:rsid w:val="00726C7B"/>
    <w:rsid w:val="007272D4"/>
    <w:rsid w:val="007273B9"/>
    <w:rsid w:val="00730127"/>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221D"/>
    <w:rsid w:val="00795793"/>
    <w:rsid w:val="00795D12"/>
    <w:rsid w:val="007978DE"/>
    <w:rsid w:val="007A1490"/>
    <w:rsid w:val="007A291E"/>
    <w:rsid w:val="007A54BA"/>
    <w:rsid w:val="007A583C"/>
    <w:rsid w:val="007A5939"/>
    <w:rsid w:val="007A5C7F"/>
    <w:rsid w:val="007A6167"/>
    <w:rsid w:val="007A66D8"/>
    <w:rsid w:val="007A6867"/>
    <w:rsid w:val="007A7B9F"/>
    <w:rsid w:val="007B006B"/>
    <w:rsid w:val="007B01E7"/>
    <w:rsid w:val="007B053B"/>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332"/>
    <w:rsid w:val="007C18BF"/>
    <w:rsid w:val="007C27EF"/>
    <w:rsid w:val="007C2931"/>
    <w:rsid w:val="007C32C5"/>
    <w:rsid w:val="007C372B"/>
    <w:rsid w:val="007C52EA"/>
    <w:rsid w:val="007C5387"/>
    <w:rsid w:val="007C67D6"/>
    <w:rsid w:val="007C7A52"/>
    <w:rsid w:val="007C7C20"/>
    <w:rsid w:val="007D0F24"/>
    <w:rsid w:val="007D1402"/>
    <w:rsid w:val="007D2ED4"/>
    <w:rsid w:val="007D32EC"/>
    <w:rsid w:val="007D475A"/>
    <w:rsid w:val="007D5106"/>
    <w:rsid w:val="007D5625"/>
    <w:rsid w:val="007D6375"/>
    <w:rsid w:val="007D685F"/>
    <w:rsid w:val="007D7450"/>
    <w:rsid w:val="007D7570"/>
    <w:rsid w:val="007D7650"/>
    <w:rsid w:val="007E14FB"/>
    <w:rsid w:val="007E1A4F"/>
    <w:rsid w:val="007E1E9F"/>
    <w:rsid w:val="007E2FA7"/>
    <w:rsid w:val="007E3500"/>
    <w:rsid w:val="007E3579"/>
    <w:rsid w:val="007E363D"/>
    <w:rsid w:val="007E41CF"/>
    <w:rsid w:val="007E42E3"/>
    <w:rsid w:val="007E5DD0"/>
    <w:rsid w:val="007E60FA"/>
    <w:rsid w:val="007E6F39"/>
    <w:rsid w:val="007E79B7"/>
    <w:rsid w:val="007F0EA2"/>
    <w:rsid w:val="007F2167"/>
    <w:rsid w:val="007F25C3"/>
    <w:rsid w:val="007F459D"/>
    <w:rsid w:val="007F7AF3"/>
    <w:rsid w:val="007F7DAE"/>
    <w:rsid w:val="00800A00"/>
    <w:rsid w:val="0080149C"/>
    <w:rsid w:val="0080386F"/>
    <w:rsid w:val="0080448E"/>
    <w:rsid w:val="008056A1"/>
    <w:rsid w:val="00806B1F"/>
    <w:rsid w:val="00811DCD"/>
    <w:rsid w:val="00811E9F"/>
    <w:rsid w:val="00812A19"/>
    <w:rsid w:val="00813310"/>
    <w:rsid w:val="00813410"/>
    <w:rsid w:val="008136E3"/>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5294"/>
    <w:rsid w:val="00836C04"/>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339A"/>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6AD0"/>
    <w:rsid w:val="008904AD"/>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3E9B"/>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571E"/>
    <w:rsid w:val="008C70C7"/>
    <w:rsid w:val="008C772E"/>
    <w:rsid w:val="008C7C0B"/>
    <w:rsid w:val="008C7CE1"/>
    <w:rsid w:val="008D1225"/>
    <w:rsid w:val="008D1D0E"/>
    <w:rsid w:val="008D1F15"/>
    <w:rsid w:val="008D1F2B"/>
    <w:rsid w:val="008D3B96"/>
    <w:rsid w:val="008D5210"/>
    <w:rsid w:val="008D6416"/>
    <w:rsid w:val="008D652C"/>
    <w:rsid w:val="008D7F6B"/>
    <w:rsid w:val="008E05E9"/>
    <w:rsid w:val="008E0D37"/>
    <w:rsid w:val="008E2D53"/>
    <w:rsid w:val="008E4467"/>
    <w:rsid w:val="008E4CD7"/>
    <w:rsid w:val="008E641D"/>
    <w:rsid w:val="008E64DA"/>
    <w:rsid w:val="008E660D"/>
    <w:rsid w:val="008E66E5"/>
    <w:rsid w:val="008E7DD4"/>
    <w:rsid w:val="008F056F"/>
    <w:rsid w:val="008F21C1"/>
    <w:rsid w:val="008F305A"/>
    <w:rsid w:val="008F3154"/>
    <w:rsid w:val="008F3465"/>
    <w:rsid w:val="008F3512"/>
    <w:rsid w:val="008F371C"/>
    <w:rsid w:val="008F3D5F"/>
    <w:rsid w:val="008F438E"/>
    <w:rsid w:val="008F66BA"/>
    <w:rsid w:val="008F7D54"/>
    <w:rsid w:val="008F7DD2"/>
    <w:rsid w:val="009004F9"/>
    <w:rsid w:val="0090344A"/>
    <w:rsid w:val="0090383C"/>
    <w:rsid w:val="0090561B"/>
    <w:rsid w:val="0090704E"/>
    <w:rsid w:val="009070E0"/>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2E82"/>
    <w:rsid w:val="009234DC"/>
    <w:rsid w:val="00926034"/>
    <w:rsid w:val="00926673"/>
    <w:rsid w:val="00926FCA"/>
    <w:rsid w:val="009271A2"/>
    <w:rsid w:val="0093027F"/>
    <w:rsid w:val="0093151B"/>
    <w:rsid w:val="00931738"/>
    <w:rsid w:val="009319FC"/>
    <w:rsid w:val="00931B31"/>
    <w:rsid w:val="009325AE"/>
    <w:rsid w:val="00932FDF"/>
    <w:rsid w:val="009346E0"/>
    <w:rsid w:val="009349B5"/>
    <w:rsid w:val="0093602A"/>
    <w:rsid w:val="00940224"/>
    <w:rsid w:val="009402E0"/>
    <w:rsid w:val="009425A7"/>
    <w:rsid w:val="0094265B"/>
    <w:rsid w:val="00942CF7"/>
    <w:rsid w:val="00942E4C"/>
    <w:rsid w:val="00944900"/>
    <w:rsid w:val="00944EA3"/>
    <w:rsid w:val="0094583D"/>
    <w:rsid w:val="00945BCE"/>
    <w:rsid w:val="009474C1"/>
    <w:rsid w:val="00950947"/>
    <w:rsid w:val="009509BD"/>
    <w:rsid w:val="00950C0B"/>
    <w:rsid w:val="00951984"/>
    <w:rsid w:val="0095439B"/>
    <w:rsid w:val="00954EC8"/>
    <w:rsid w:val="009553FC"/>
    <w:rsid w:val="009554DD"/>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2514"/>
    <w:rsid w:val="00992888"/>
    <w:rsid w:val="00992AA9"/>
    <w:rsid w:val="009947F1"/>
    <w:rsid w:val="009949CE"/>
    <w:rsid w:val="00994F03"/>
    <w:rsid w:val="009972B4"/>
    <w:rsid w:val="009A01F1"/>
    <w:rsid w:val="009A045C"/>
    <w:rsid w:val="009A081F"/>
    <w:rsid w:val="009A0EB3"/>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432"/>
    <w:rsid w:val="009C750F"/>
    <w:rsid w:val="009C796D"/>
    <w:rsid w:val="009D18C6"/>
    <w:rsid w:val="009D1DA9"/>
    <w:rsid w:val="009D3922"/>
    <w:rsid w:val="009D4471"/>
    <w:rsid w:val="009D4775"/>
    <w:rsid w:val="009D4AE0"/>
    <w:rsid w:val="009D56BB"/>
    <w:rsid w:val="009D6DFE"/>
    <w:rsid w:val="009D771F"/>
    <w:rsid w:val="009E191B"/>
    <w:rsid w:val="009E2771"/>
    <w:rsid w:val="009E322F"/>
    <w:rsid w:val="009E4300"/>
    <w:rsid w:val="009E4DF6"/>
    <w:rsid w:val="009E58C7"/>
    <w:rsid w:val="009E6334"/>
    <w:rsid w:val="009E7251"/>
    <w:rsid w:val="009E7A57"/>
    <w:rsid w:val="009E7EE6"/>
    <w:rsid w:val="009F1542"/>
    <w:rsid w:val="009F1734"/>
    <w:rsid w:val="009F2E83"/>
    <w:rsid w:val="009F3B03"/>
    <w:rsid w:val="009F4E51"/>
    <w:rsid w:val="009F652E"/>
    <w:rsid w:val="009F669E"/>
    <w:rsid w:val="009F6ED1"/>
    <w:rsid w:val="009F7467"/>
    <w:rsid w:val="00A00155"/>
    <w:rsid w:val="00A01043"/>
    <w:rsid w:val="00A0126B"/>
    <w:rsid w:val="00A01720"/>
    <w:rsid w:val="00A02454"/>
    <w:rsid w:val="00A02548"/>
    <w:rsid w:val="00A02D52"/>
    <w:rsid w:val="00A03A7D"/>
    <w:rsid w:val="00A03B4A"/>
    <w:rsid w:val="00A04AA5"/>
    <w:rsid w:val="00A072C1"/>
    <w:rsid w:val="00A07B14"/>
    <w:rsid w:val="00A113B3"/>
    <w:rsid w:val="00A11694"/>
    <w:rsid w:val="00A12A17"/>
    <w:rsid w:val="00A12F12"/>
    <w:rsid w:val="00A134B2"/>
    <w:rsid w:val="00A139E6"/>
    <w:rsid w:val="00A14C28"/>
    <w:rsid w:val="00A16061"/>
    <w:rsid w:val="00A16582"/>
    <w:rsid w:val="00A16772"/>
    <w:rsid w:val="00A16E83"/>
    <w:rsid w:val="00A17085"/>
    <w:rsid w:val="00A2036F"/>
    <w:rsid w:val="00A21509"/>
    <w:rsid w:val="00A22BC9"/>
    <w:rsid w:val="00A2476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3B00"/>
    <w:rsid w:val="00A446B7"/>
    <w:rsid w:val="00A45306"/>
    <w:rsid w:val="00A45A73"/>
    <w:rsid w:val="00A46106"/>
    <w:rsid w:val="00A47E87"/>
    <w:rsid w:val="00A47ED7"/>
    <w:rsid w:val="00A47F97"/>
    <w:rsid w:val="00A5258C"/>
    <w:rsid w:val="00A526BF"/>
    <w:rsid w:val="00A538EB"/>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438"/>
    <w:rsid w:val="00A818B5"/>
    <w:rsid w:val="00A81BA4"/>
    <w:rsid w:val="00A824FF"/>
    <w:rsid w:val="00A82FDB"/>
    <w:rsid w:val="00A839BC"/>
    <w:rsid w:val="00A841EE"/>
    <w:rsid w:val="00A843ED"/>
    <w:rsid w:val="00A85A0C"/>
    <w:rsid w:val="00A866D6"/>
    <w:rsid w:val="00A867D8"/>
    <w:rsid w:val="00A90878"/>
    <w:rsid w:val="00A92684"/>
    <w:rsid w:val="00A93C69"/>
    <w:rsid w:val="00A93EE1"/>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985"/>
    <w:rsid w:val="00AB1FF4"/>
    <w:rsid w:val="00AB3527"/>
    <w:rsid w:val="00AB38CA"/>
    <w:rsid w:val="00AB511C"/>
    <w:rsid w:val="00AB60E2"/>
    <w:rsid w:val="00AB6456"/>
    <w:rsid w:val="00AB6AEF"/>
    <w:rsid w:val="00AB7107"/>
    <w:rsid w:val="00AB7139"/>
    <w:rsid w:val="00AB7C34"/>
    <w:rsid w:val="00AC14D1"/>
    <w:rsid w:val="00AC22A0"/>
    <w:rsid w:val="00AC392D"/>
    <w:rsid w:val="00AC3C2E"/>
    <w:rsid w:val="00AC4320"/>
    <w:rsid w:val="00AC488B"/>
    <w:rsid w:val="00AC4CC9"/>
    <w:rsid w:val="00AC5D60"/>
    <w:rsid w:val="00AC6957"/>
    <w:rsid w:val="00AC76F5"/>
    <w:rsid w:val="00AD2869"/>
    <w:rsid w:val="00AD2B96"/>
    <w:rsid w:val="00AD478B"/>
    <w:rsid w:val="00AD5A34"/>
    <w:rsid w:val="00AD5F18"/>
    <w:rsid w:val="00AE0F11"/>
    <w:rsid w:val="00AE1C47"/>
    <w:rsid w:val="00AE1E2E"/>
    <w:rsid w:val="00AE2057"/>
    <w:rsid w:val="00AE2820"/>
    <w:rsid w:val="00AE2BAB"/>
    <w:rsid w:val="00AE33ED"/>
    <w:rsid w:val="00AE5BDE"/>
    <w:rsid w:val="00AE7B83"/>
    <w:rsid w:val="00AF044A"/>
    <w:rsid w:val="00AF0FF7"/>
    <w:rsid w:val="00AF1F2F"/>
    <w:rsid w:val="00AF2E25"/>
    <w:rsid w:val="00AF42FD"/>
    <w:rsid w:val="00AF59E7"/>
    <w:rsid w:val="00AF6265"/>
    <w:rsid w:val="00AF6BB4"/>
    <w:rsid w:val="00AF7523"/>
    <w:rsid w:val="00B018BC"/>
    <w:rsid w:val="00B0260E"/>
    <w:rsid w:val="00B02A35"/>
    <w:rsid w:val="00B04C55"/>
    <w:rsid w:val="00B0682B"/>
    <w:rsid w:val="00B07CDD"/>
    <w:rsid w:val="00B07E11"/>
    <w:rsid w:val="00B10547"/>
    <w:rsid w:val="00B113CC"/>
    <w:rsid w:val="00B11456"/>
    <w:rsid w:val="00B114A3"/>
    <w:rsid w:val="00B1195C"/>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9FA"/>
    <w:rsid w:val="00B23A59"/>
    <w:rsid w:val="00B23BDF"/>
    <w:rsid w:val="00B25705"/>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812"/>
    <w:rsid w:val="00B43F5D"/>
    <w:rsid w:val="00B44032"/>
    <w:rsid w:val="00B45E12"/>
    <w:rsid w:val="00B468AF"/>
    <w:rsid w:val="00B519C5"/>
    <w:rsid w:val="00B51B78"/>
    <w:rsid w:val="00B528CF"/>
    <w:rsid w:val="00B53C22"/>
    <w:rsid w:val="00B53F3F"/>
    <w:rsid w:val="00B540E7"/>
    <w:rsid w:val="00B541B9"/>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1D6"/>
    <w:rsid w:val="00B814E7"/>
    <w:rsid w:val="00B82698"/>
    <w:rsid w:val="00B8272E"/>
    <w:rsid w:val="00B833BF"/>
    <w:rsid w:val="00B84B85"/>
    <w:rsid w:val="00B84C76"/>
    <w:rsid w:val="00B853DA"/>
    <w:rsid w:val="00B86576"/>
    <w:rsid w:val="00B86DCD"/>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55C5"/>
    <w:rsid w:val="00BA6CC7"/>
    <w:rsid w:val="00BA6FDB"/>
    <w:rsid w:val="00BA7021"/>
    <w:rsid w:val="00BA7C2B"/>
    <w:rsid w:val="00BA7DA0"/>
    <w:rsid w:val="00BA7EC6"/>
    <w:rsid w:val="00BB0945"/>
    <w:rsid w:val="00BB43D3"/>
    <w:rsid w:val="00BB4A5F"/>
    <w:rsid w:val="00BB4D31"/>
    <w:rsid w:val="00BB662B"/>
    <w:rsid w:val="00BB7097"/>
    <w:rsid w:val="00BB7392"/>
    <w:rsid w:val="00BB7EF4"/>
    <w:rsid w:val="00BC079B"/>
    <w:rsid w:val="00BC1D50"/>
    <w:rsid w:val="00BC2298"/>
    <w:rsid w:val="00BC4B77"/>
    <w:rsid w:val="00BC4EB6"/>
    <w:rsid w:val="00BC4FB5"/>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0DD"/>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1F0D"/>
    <w:rsid w:val="00C22F62"/>
    <w:rsid w:val="00C23589"/>
    <w:rsid w:val="00C24C68"/>
    <w:rsid w:val="00C24F14"/>
    <w:rsid w:val="00C251B7"/>
    <w:rsid w:val="00C256D7"/>
    <w:rsid w:val="00C26BF6"/>
    <w:rsid w:val="00C27038"/>
    <w:rsid w:val="00C31BA5"/>
    <w:rsid w:val="00C31DE7"/>
    <w:rsid w:val="00C3214A"/>
    <w:rsid w:val="00C32AA5"/>
    <w:rsid w:val="00C333B4"/>
    <w:rsid w:val="00C33426"/>
    <w:rsid w:val="00C34633"/>
    <w:rsid w:val="00C349E8"/>
    <w:rsid w:val="00C352EC"/>
    <w:rsid w:val="00C35459"/>
    <w:rsid w:val="00C36621"/>
    <w:rsid w:val="00C40F2B"/>
    <w:rsid w:val="00C42257"/>
    <w:rsid w:val="00C4247A"/>
    <w:rsid w:val="00C42505"/>
    <w:rsid w:val="00C43F78"/>
    <w:rsid w:val="00C44691"/>
    <w:rsid w:val="00C46101"/>
    <w:rsid w:val="00C46231"/>
    <w:rsid w:val="00C46887"/>
    <w:rsid w:val="00C47F3D"/>
    <w:rsid w:val="00C5255D"/>
    <w:rsid w:val="00C5270F"/>
    <w:rsid w:val="00C53BC6"/>
    <w:rsid w:val="00C54416"/>
    <w:rsid w:val="00C54C0D"/>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9C0"/>
    <w:rsid w:val="00C90DAF"/>
    <w:rsid w:val="00C90EA8"/>
    <w:rsid w:val="00C916B4"/>
    <w:rsid w:val="00C91BD8"/>
    <w:rsid w:val="00C92613"/>
    <w:rsid w:val="00C9597C"/>
    <w:rsid w:val="00C9627B"/>
    <w:rsid w:val="00C962F1"/>
    <w:rsid w:val="00C9657E"/>
    <w:rsid w:val="00C9692E"/>
    <w:rsid w:val="00C9773F"/>
    <w:rsid w:val="00CA13DB"/>
    <w:rsid w:val="00CA1F7A"/>
    <w:rsid w:val="00CA2EAA"/>
    <w:rsid w:val="00CA3848"/>
    <w:rsid w:val="00CA3EDB"/>
    <w:rsid w:val="00CA4F9B"/>
    <w:rsid w:val="00CA58E8"/>
    <w:rsid w:val="00CA5F96"/>
    <w:rsid w:val="00CA637F"/>
    <w:rsid w:val="00CA6C44"/>
    <w:rsid w:val="00CA6DD5"/>
    <w:rsid w:val="00CA7170"/>
    <w:rsid w:val="00CA738A"/>
    <w:rsid w:val="00CA7753"/>
    <w:rsid w:val="00CA7E0E"/>
    <w:rsid w:val="00CB06AB"/>
    <w:rsid w:val="00CB0E75"/>
    <w:rsid w:val="00CB1504"/>
    <w:rsid w:val="00CB2742"/>
    <w:rsid w:val="00CB307D"/>
    <w:rsid w:val="00CB36B3"/>
    <w:rsid w:val="00CB387F"/>
    <w:rsid w:val="00CB5F69"/>
    <w:rsid w:val="00CB763B"/>
    <w:rsid w:val="00CC08EE"/>
    <w:rsid w:val="00CC08F1"/>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1721"/>
    <w:rsid w:val="00CE2E5E"/>
    <w:rsid w:val="00CE3F98"/>
    <w:rsid w:val="00CE4665"/>
    <w:rsid w:val="00CE4A4A"/>
    <w:rsid w:val="00CE4B31"/>
    <w:rsid w:val="00CE57A6"/>
    <w:rsid w:val="00CE5886"/>
    <w:rsid w:val="00CE67FD"/>
    <w:rsid w:val="00CE701B"/>
    <w:rsid w:val="00CE7331"/>
    <w:rsid w:val="00CE7473"/>
    <w:rsid w:val="00CF0732"/>
    <w:rsid w:val="00CF1126"/>
    <w:rsid w:val="00CF24AD"/>
    <w:rsid w:val="00CF2FEF"/>
    <w:rsid w:val="00CF4273"/>
    <w:rsid w:val="00CF49C3"/>
    <w:rsid w:val="00CF5FBE"/>
    <w:rsid w:val="00CF6275"/>
    <w:rsid w:val="00CF7606"/>
    <w:rsid w:val="00CF77D6"/>
    <w:rsid w:val="00D00889"/>
    <w:rsid w:val="00D01238"/>
    <w:rsid w:val="00D01E89"/>
    <w:rsid w:val="00D0202D"/>
    <w:rsid w:val="00D028C3"/>
    <w:rsid w:val="00D03781"/>
    <w:rsid w:val="00D0450A"/>
    <w:rsid w:val="00D062B9"/>
    <w:rsid w:val="00D065DA"/>
    <w:rsid w:val="00D06E1E"/>
    <w:rsid w:val="00D1018B"/>
    <w:rsid w:val="00D10A04"/>
    <w:rsid w:val="00D128D7"/>
    <w:rsid w:val="00D131E9"/>
    <w:rsid w:val="00D1471A"/>
    <w:rsid w:val="00D152D9"/>
    <w:rsid w:val="00D15BC3"/>
    <w:rsid w:val="00D16328"/>
    <w:rsid w:val="00D16FF9"/>
    <w:rsid w:val="00D17D88"/>
    <w:rsid w:val="00D17DF9"/>
    <w:rsid w:val="00D2167C"/>
    <w:rsid w:val="00D2282C"/>
    <w:rsid w:val="00D22F0B"/>
    <w:rsid w:val="00D23D1F"/>
    <w:rsid w:val="00D24C21"/>
    <w:rsid w:val="00D26BBF"/>
    <w:rsid w:val="00D26E9C"/>
    <w:rsid w:val="00D27BC8"/>
    <w:rsid w:val="00D316FE"/>
    <w:rsid w:val="00D3262D"/>
    <w:rsid w:val="00D32A6A"/>
    <w:rsid w:val="00D34976"/>
    <w:rsid w:val="00D35EDA"/>
    <w:rsid w:val="00D36D16"/>
    <w:rsid w:val="00D379DA"/>
    <w:rsid w:val="00D41955"/>
    <w:rsid w:val="00D41CEF"/>
    <w:rsid w:val="00D42A9B"/>
    <w:rsid w:val="00D436B0"/>
    <w:rsid w:val="00D43EC5"/>
    <w:rsid w:val="00D44378"/>
    <w:rsid w:val="00D44C7A"/>
    <w:rsid w:val="00D44E9F"/>
    <w:rsid w:val="00D46528"/>
    <w:rsid w:val="00D47ADA"/>
    <w:rsid w:val="00D47EDA"/>
    <w:rsid w:val="00D507E7"/>
    <w:rsid w:val="00D516BE"/>
    <w:rsid w:val="00D521CB"/>
    <w:rsid w:val="00D52596"/>
    <w:rsid w:val="00D53811"/>
    <w:rsid w:val="00D53DAE"/>
    <w:rsid w:val="00D543C1"/>
    <w:rsid w:val="00D54667"/>
    <w:rsid w:val="00D5516F"/>
    <w:rsid w:val="00D554B6"/>
    <w:rsid w:val="00D564A7"/>
    <w:rsid w:val="00D566D4"/>
    <w:rsid w:val="00D604C1"/>
    <w:rsid w:val="00D62698"/>
    <w:rsid w:val="00D62831"/>
    <w:rsid w:val="00D62DC1"/>
    <w:rsid w:val="00D641AA"/>
    <w:rsid w:val="00D64AD2"/>
    <w:rsid w:val="00D65F6E"/>
    <w:rsid w:val="00D702D2"/>
    <w:rsid w:val="00D7034F"/>
    <w:rsid w:val="00D70AD3"/>
    <w:rsid w:val="00D70DF4"/>
    <w:rsid w:val="00D72D6A"/>
    <w:rsid w:val="00D733A1"/>
    <w:rsid w:val="00D74300"/>
    <w:rsid w:val="00D75A3C"/>
    <w:rsid w:val="00D76680"/>
    <w:rsid w:val="00D802C2"/>
    <w:rsid w:val="00D803BC"/>
    <w:rsid w:val="00D81D55"/>
    <w:rsid w:val="00D81F28"/>
    <w:rsid w:val="00D8253A"/>
    <w:rsid w:val="00D82FC4"/>
    <w:rsid w:val="00D83FF9"/>
    <w:rsid w:val="00D849C0"/>
    <w:rsid w:val="00D84DBD"/>
    <w:rsid w:val="00D85988"/>
    <w:rsid w:val="00D860A8"/>
    <w:rsid w:val="00D86166"/>
    <w:rsid w:val="00D86C8B"/>
    <w:rsid w:val="00D8737F"/>
    <w:rsid w:val="00D87764"/>
    <w:rsid w:val="00D90E79"/>
    <w:rsid w:val="00D92B64"/>
    <w:rsid w:val="00D93E39"/>
    <w:rsid w:val="00D940CE"/>
    <w:rsid w:val="00D95A74"/>
    <w:rsid w:val="00D96803"/>
    <w:rsid w:val="00D96A40"/>
    <w:rsid w:val="00D96B14"/>
    <w:rsid w:val="00D96F38"/>
    <w:rsid w:val="00D97978"/>
    <w:rsid w:val="00D97F13"/>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05"/>
    <w:rsid w:val="00DB548B"/>
    <w:rsid w:val="00DB59BA"/>
    <w:rsid w:val="00DB689E"/>
    <w:rsid w:val="00DB751D"/>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68D0"/>
    <w:rsid w:val="00DD7BA3"/>
    <w:rsid w:val="00DE0003"/>
    <w:rsid w:val="00DE0119"/>
    <w:rsid w:val="00DE05C2"/>
    <w:rsid w:val="00DE0E79"/>
    <w:rsid w:val="00DE1CCB"/>
    <w:rsid w:val="00DE2AF3"/>
    <w:rsid w:val="00DE4B3D"/>
    <w:rsid w:val="00DE7027"/>
    <w:rsid w:val="00DE7B3D"/>
    <w:rsid w:val="00DF2C51"/>
    <w:rsid w:val="00DF4282"/>
    <w:rsid w:val="00DF4DB1"/>
    <w:rsid w:val="00DF4F75"/>
    <w:rsid w:val="00DF61AF"/>
    <w:rsid w:val="00DF79C0"/>
    <w:rsid w:val="00DF7E39"/>
    <w:rsid w:val="00E00787"/>
    <w:rsid w:val="00E00B96"/>
    <w:rsid w:val="00E010D2"/>
    <w:rsid w:val="00E021D8"/>
    <w:rsid w:val="00E0264D"/>
    <w:rsid w:val="00E03B3D"/>
    <w:rsid w:val="00E04240"/>
    <w:rsid w:val="00E05C6B"/>
    <w:rsid w:val="00E07645"/>
    <w:rsid w:val="00E10C48"/>
    <w:rsid w:val="00E10EB8"/>
    <w:rsid w:val="00E11027"/>
    <w:rsid w:val="00E118E0"/>
    <w:rsid w:val="00E12966"/>
    <w:rsid w:val="00E129DE"/>
    <w:rsid w:val="00E13C8B"/>
    <w:rsid w:val="00E14292"/>
    <w:rsid w:val="00E14BDC"/>
    <w:rsid w:val="00E14E4F"/>
    <w:rsid w:val="00E150CB"/>
    <w:rsid w:val="00E15476"/>
    <w:rsid w:val="00E15592"/>
    <w:rsid w:val="00E1563B"/>
    <w:rsid w:val="00E15721"/>
    <w:rsid w:val="00E15C7D"/>
    <w:rsid w:val="00E15ED5"/>
    <w:rsid w:val="00E16038"/>
    <w:rsid w:val="00E1633B"/>
    <w:rsid w:val="00E167E1"/>
    <w:rsid w:val="00E17832"/>
    <w:rsid w:val="00E21C48"/>
    <w:rsid w:val="00E23764"/>
    <w:rsid w:val="00E25497"/>
    <w:rsid w:val="00E25BD9"/>
    <w:rsid w:val="00E26147"/>
    <w:rsid w:val="00E263F0"/>
    <w:rsid w:val="00E2730C"/>
    <w:rsid w:val="00E3101C"/>
    <w:rsid w:val="00E32479"/>
    <w:rsid w:val="00E324A0"/>
    <w:rsid w:val="00E32E2A"/>
    <w:rsid w:val="00E3342C"/>
    <w:rsid w:val="00E344DD"/>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B1F"/>
    <w:rsid w:val="00E532C7"/>
    <w:rsid w:val="00E54E86"/>
    <w:rsid w:val="00E54F09"/>
    <w:rsid w:val="00E54F6F"/>
    <w:rsid w:val="00E5538C"/>
    <w:rsid w:val="00E55F04"/>
    <w:rsid w:val="00E56258"/>
    <w:rsid w:val="00E601E4"/>
    <w:rsid w:val="00E60723"/>
    <w:rsid w:val="00E61427"/>
    <w:rsid w:val="00E62521"/>
    <w:rsid w:val="00E637E6"/>
    <w:rsid w:val="00E63C9C"/>
    <w:rsid w:val="00E63DEB"/>
    <w:rsid w:val="00E6408C"/>
    <w:rsid w:val="00E64BDE"/>
    <w:rsid w:val="00E667F5"/>
    <w:rsid w:val="00E66862"/>
    <w:rsid w:val="00E675E5"/>
    <w:rsid w:val="00E67B51"/>
    <w:rsid w:val="00E70C9E"/>
    <w:rsid w:val="00E71481"/>
    <w:rsid w:val="00E71941"/>
    <w:rsid w:val="00E7279F"/>
    <w:rsid w:val="00E736B1"/>
    <w:rsid w:val="00E74803"/>
    <w:rsid w:val="00E74C42"/>
    <w:rsid w:val="00E74C7F"/>
    <w:rsid w:val="00E75332"/>
    <w:rsid w:val="00E7624D"/>
    <w:rsid w:val="00E8001E"/>
    <w:rsid w:val="00E808D0"/>
    <w:rsid w:val="00E80A7D"/>
    <w:rsid w:val="00E8251D"/>
    <w:rsid w:val="00E8490D"/>
    <w:rsid w:val="00E85B1B"/>
    <w:rsid w:val="00E86EA2"/>
    <w:rsid w:val="00E87E37"/>
    <w:rsid w:val="00E90138"/>
    <w:rsid w:val="00E92CFD"/>
    <w:rsid w:val="00E933DC"/>
    <w:rsid w:val="00E940C3"/>
    <w:rsid w:val="00E94C05"/>
    <w:rsid w:val="00E94CA0"/>
    <w:rsid w:val="00E9744A"/>
    <w:rsid w:val="00E974CF"/>
    <w:rsid w:val="00E97AE2"/>
    <w:rsid w:val="00EA169B"/>
    <w:rsid w:val="00EA2012"/>
    <w:rsid w:val="00EA26A1"/>
    <w:rsid w:val="00EA4711"/>
    <w:rsid w:val="00EA538F"/>
    <w:rsid w:val="00EA5938"/>
    <w:rsid w:val="00EA5A39"/>
    <w:rsid w:val="00EA5B35"/>
    <w:rsid w:val="00EA5BCF"/>
    <w:rsid w:val="00EA5E9F"/>
    <w:rsid w:val="00EA6A83"/>
    <w:rsid w:val="00EA7E15"/>
    <w:rsid w:val="00EB1612"/>
    <w:rsid w:val="00EB1B35"/>
    <w:rsid w:val="00EB249E"/>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72F8"/>
    <w:rsid w:val="00EF7C44"/>
    <w:rsid w:val="00EF7CD4"/>
    <w:rsid w:val="00F01695"/>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519E"/>
    <w:rsid w:val="00F359B1"/>
    <w:rsid w:val="00F368EA"/>
    <w:rsid w:val="00F378C2"/>
    <w:rsid w:val="00F37BB4"/>
    <w:rsid w:val="00F40C36"/>
    <w:rsid w:val="00F42930"/>
    <w:rsid w:val="00F42B5D"/>
    <w:rsid w:val="00F42F9E"/>
    <w:rsid w:val="00F437A5"/>
    <w:rsid w:val="00F43DB2"/>
    <w:rsid w:val="00F45A36"/>
    <w:rsid w:val="00F461C7"/>
    <w:rsid w:val="00F4639C"/>
    <w:rsid w:val="00F47CE2"/>
    <w:rsid w:val="00F5223F"/>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6DFB"/>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47C"/>
    <w:rsid w:val="00F979CA"/>
    <w:rsid w:val="00FA0EBD"/>
    <w:rsid w:val="00FA13ED"/>
    <w:rsid w:val="00FA1A7B"/>
    <w:rsid w:val="00FA1DD2"/>
    <w:rsid w:val="00FA4546"/>
    <w:rsid w:val="00FA4878"/>
    <w:rsid w:val="00FA504E"/>
    <w:rsid w:val="00FA5150"/>
    <w:rsid w:val="00FA6E64"/>
    <w:rsid w:val="00FB2E1D"/>
    <w:rsid w:val="00FB365C"/>
    <w:rsid w:val="00FB4843"/>
    <w:rsid w:val="00FB4D3C"/>
    <w:rsid w:val="00FB5B4E"/>
    <w:rsid w:val="00FB5F3F"/>
    <w:rsid w:val="00FB6D7A"/>
    <w:rsid w:val="00FB7313"/>
    <w:rsid w:val="00FC0A85"/>
    <w:rsid w:val="00FC0F39"/>
    <w:rsid w:val="00FC1063"/>
    <w:rsid w:val="00FC1AD5"/>
    <w:rsid w:val="00FC1D6F"/>
    <w:rsid w:val="00FC2E6C"/>
    <w:rsid w:val="00FC2FA1"/>
    <w:rsid w:val="00FC2FF6"/>
    <w:rsid w:val="00FC3171"/>
    <w:rsid w:val="00FC57AE"/>
    <w:rsid w:val="00FC5D27"/>
    <w:rsid w:val="00FC5E32"/>
    <w:rsid w:val="00FC60B4"/>
    <w:rsid w:val="00FC6FDB"/>
    <w:rsid w:val="00FC721E"/>
    <w:rsid w:val="00FC7502"/>
    <w:rsid w:val="00FD152A"/>
    <w:rsid w:val="00FD1851"/>
    <w:rsid w:val="00FD1D35"/>
    <w:rsid w:val="00FD3615"/>
    <w:rsid w:val="00FD3F0E"/>
    <w:rsid w:val="00FD4EB6"/>
    <w:rsid w:val="00FD564D"/>
    <w:rsid w:val="00FD571E"/>
    <w:rsid w:val="00FD6AB7"/>
    <w:rsid w:val="00FD6C2B"/>
    <w:rsid w:val="00FD712F"/>
    <w:rsid w:val="00FD76B5"/>
    <w:rsid w:val="00FD7D6D"/>
    <w:rsid w:val="00FE0656"/>
    <w:rsid w:val="00FE16B3"/>
    <w:rsid w:val="00FE369E"/>
    <w:rsid w:val="00FE3EE5"/>
    <w:rsid w:val="00FE3FAE"/>
    <w:rsid w:val="00FE4404"/>
    <w:rsid w:val="00FE4C68"/>
    <w:rsid w:val="00FE5BEC"/>
    <w:rsid w:val="00FE6B74"/>
    <w:rsid w:val="00FE6BD4"/>
    <w:rsid w:val="00FE74AD"/>
    <w:rsid w:val="00FE772F"/>
    <w:rsid w:val="00FE77E0"/>
    <w:rsid w:val="00FE79FA"/>
    <w:rsid w:val="00FE7EFC"/>
    <w:rsid w:val="00FF15D2"/>
    <w:rsid w:val="00FF19D9"/>
    <w:rsid w:val="00FF48F5"/>
    <w:rsid w:val="00FF539D"/>
    <w:rsid w:val="00FF5443"/>
    <w:rsid w:val="00FF5CF5"/>
    <w:rsid w:val="00FF6563"/>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4108"/>
    <o:shapelayout v:ext="edit">
      <o:idmap v:ext="edit" data="1"/>
    </o:shapelayout>
  </w:shapeDefaults>
  <w:decimalSymbol w:val="."/>
  <w:listSeparator w:val=","/>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Equipment,Figure_name,List Paragraph Char Char,List Paragraph1,List Paragraph11,List Paragraph2,List_TIS,Normal Sentence,Number_1,Numbered Indented Text,Ref,SGLText List Paragraph,TOC style,new,Amex_bullet,ListPar1,d_bodyb,L"/>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Equipment Char,Figure_name Char,List Paragraph Char Char Char,List Paragraph1 Char,List Paragraph11 Char,List Paragraph2 Char,List_TIS Char,Normal Sentence Char,Number_1 Char,Numbered Indented Text Char,Ref Char"/>
    <w:link w:val="ListParagraph"/>
    <w:uiPriority w:val="34"/>
    <w:qFormat/>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5355197">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147789651">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47464650">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450979554">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30811187">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734280448">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535088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2027704512">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84560430">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879319389">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101926158">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648048802">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14236478">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185272286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5259313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1124689945">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38974864">
      <w:bodyDiv w:val="1"/>
      <w:marLeft w:val="0"/>
      <w:marRight w:val="0"/>
      <w:marTop w:val="0"/>
      <w:marBottom w:val="0"/>
      <w:divBdr>
        <w:top w:val="none" w:sz="0" w:space="0" w:color="auto"/>
        <w:left w:val="none" w:sz="0" w:space="0" w:color="auto"/>
        <w:bottom w:val="none" w:sz="0" w:space="0" w:color="auto"/>
        <w:right w:val="none" w:sz="0" w:space="0" w:color="auto"/>
      </w:divBdr>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3166946">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1372225">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yperlink" Target="mailto:bulletin@sebi.gov.in" TargetMode="External"/><Relationship Id="rId26" Type="http://schemas.openxmlformats.org/officeDocument/2006/relationships/chart" Target="charts/chart8.xml"/><Relationship Id="rId39" Type="http://schemas.openxmlformats.org/officeDocument/2006/relationships/image" Target="media/image4.png"/><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image" Target="media/image6.png"/><Relationship Id="rId47" Type="http://schemas.openxmlformats.org/officeDocument/2006/relationships/footer" Target="footer2.xm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chart" Target="charts/chart11.xml"/><Relationship Id="rId11" Type="http://schemas.openxmlformats.org/officeDocument/2006/relationships/numbering" Target="numbering.xml"/><Relationship Id="rId24" Type="http://schemas.openxmlformats.org/officeDocument/2006/relationships/chart" Target="charts/chart6.xml"/><Relationship Id="rId32" Type="http://schemas.openxmlformats.org/officeDocument/2006/relationships/chart" Target="charts/chart12.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eader" Target="header2.xml"/><Relationship Id="rId53" Type="http://schemas.openxmlformats.org/officeDocument/2006/relationships/footer" Target="footer4.xml"/><Relationship Id="rId5" Type="http://schemas.openxmlformats.org/officeDocument/2006/relationships/customXml" Target="../customXml/item5.xml"/><Relationship Id="rId10" Type="http://schemas.openxmlformats.org/officeDocument/2006/relationships/customXml" Target="../customXml/item10.xml"/><Relationship Id="rId19" Type="http://schemas.openxmlformats.org/officeDocument/2006/relationships/chart" Target="charts/chart1.xml"/><Relationship Id="rId31" Type="http://schemas.openxmlformats.org/officeDocument/2006/relationships/oleObject" Target="embeddings/Microsoft_Excel_97-2003_Worksheet.xls"/><Relationship Id="rId44" Type="http://schemas.openxmlformats.org/officeDocument/2006/relationships/header" Target="header1.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1.png"/><Relationship Id="rId35" Type="http://schemas.openxmlformats.org/officeDocument/2006/relationships/chart" Target="charts/chart15.xml"/><Relationship Id="rId43" Type="http://schemas.openxmlformats.org/officeDocument/2006/relationships/image" Target="media/image7.png"/><Relationship Id="rId48" Type="http://schemas.openxmlformats.org/officeDocument/2006/relationships/hyperlink" Target="https://www.iosco.org/news/pdf/IOSCONEWS605.pdf" TargetMode="External"/><Relationship Id="rId8" Type="http://schemas.openxmlformats.org/officeDocument/2006/relationships/customXml" Target="../customXml/item8.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http://www.sebi.gov.in" TargetMode="External"/><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image" Target="media/image3.png"/><Relationship Id="rId46" Type="http://schemas.openxmlformats.org/officeDocument/2006/relationships/footer" Target="footer1.xml"/><Relationship Id="rId20" Type="http://schemas.openxmlformats.org/officeDocument/2006/relationships/chart" Target="charts/chart2.xml"/><Relationship Id="rId41" Type="http://schemas.openxmlformats.org/officeDocument/2006/relationships/image" Target="cid:image001.png@01D78D2A.60F2B2A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hyperlink" Target="https://www.fca.org.uk/news/press-releases/fca-proposes-stronger-protection-consumers-financial-market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2201\Desktop\Sneha\bulletin\CMR%20May%202021%20(Autosaved).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2201\Desktop\Sneha\bulletin\CMR%20May%202021%20(Autosaved).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2201\Desktop\Sneha\bulletin\CMR%20May%202021%20(Autosaved).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2201\Desktop\Sneha\bulletin\CMR%20May%202021%20(Autosaved).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Saurabh\Desktop\Graphs%20%20data%20for%20bulletin%20May%20202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1295\Desktop\21-22\periodic%20work\Bulletin%2021-22\May%202021-%20Bulletin\Graphs%20%20data%20for%20bulletin%20May%20202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1295\Desktop\21-22\periodic%20work\Bulletin%2021-22\April%202021%20bulletin\Graphs%20%20data%20for%20bulletin%20Apr%202021.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1295\Desktop\21-22\periodic%20work\Bulletin%2021-22\April%202021%20bulletin\Graphs%20%20data%20for%20bulletin%20Apr%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2201\Desktop\Sneha\bulletin\CMR%20May%202021%20(Autosave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2201\Desktop\Sneha\bulletin\CMR%20May%202021%20(Autosave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2201\Desktop\Sneha\bulletin\CMR%20May%202021%20(Autosav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2015\Desktop\Bulletin\July%2021\CMR%20June%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2201\Desktop\Sneha\bulletin\CMR%20May%202021%20(Autosaved).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2015\Desktop\Bulletin\CMR%20May%202021%20(Autosaved).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2201\Desktop\Sneha\bulletin\CMR%20May%202021%20(Autosave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2201\Desktop\Sneha\bulletin\CMR%20May%202021%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'F1'!$D$1</c:f>
              <c:strCache>
                <c:ptCount val="1"/>
                <c:pt idx="0">
                  <c:v>Nifty </c:v>
                </c:pt>
              </c:strCache>
            </c:strRef>
          </c:tx>
          <c:spPr>
            <a:ln w="28575" cap="rnd">
              <a:solidFill>
                <a:srgbClr val="00B050"/>
              </a:solidFill>
              <a:round/>
            </a:ln>
            <a:effectLst/>
          </c:spPr>
          <c:marker>
            <c:symbol val="none"/>
          </c:marker>
          <c:cat>
            <c:numRef>
              <c:f>'F1'!$A$2:$A$23</c:f>
              <c:numCache>
                <c:formatCode>[$-409]d\-mmm\-yy;@</c:formatCode>
                <c:ptCount val="22"/>
                <c:pt idx="0">
                  <c:v>44316</c:v>
                </c:pt>
                <c:pt idx="1">
                  <c:v>44319</c:v>
                </c:pt>
                <c:pt idx="2">
                  <c:v>44320</c:v>
                </c:pt>
                <c:pt idx="3">
                  <c:v>44321</c:v>
                </c:pt>
                <c:pt idx="4">
                  <c:v>44322</c:v>
                </c:pt>
                <c:pt idx="5">
                  <c:v>44323</c:v>
                </c:pt>
                <c:pt idx="6">
                  <c:v>44326</c:v>
                </c:pt>
                <c:pt idx="7">
                  <c:v>44327</c:v>
                </c:pt>
                <c:pt idx="8">
                  <c:v>44328</c:v>
                </c:pt>
                <c:pt idx="9">
                  <c:v>44330</c:v>
                </c:pt>
                <c:pt idx="10">
                  <c:v>44333</c:v>
                </c:pt>
                <c:pt idx="11">
                  <c:v>44334</c:v>
                </c:pt>
                <c:pt idx="12">
                  <c:v>44335</c:v>
                </c:pt>
                <c:pt idx="13">
                  <c:v>44336</c:v>
                </c:pt>
                <c:pt idx="14">
                  <c:v>44337</c:v>
                </c:pt>
                <c:pt idx="15">
                  <c:v>44340</c:v>
                </c:pt>
                <c:pt idx="16">
                  <c:v>44341</c:v>
                </c:pt>
                <c:pt idx="17">
                  <c:v>44342</c:v>
                </c:pt>
                <c:pt idx="18">
                  <c:v>44343</c:v>
                </c:pt>
                <c:pt idx="19">
                  <c:v>44344</c:v>
                </c:pt>
                <c:pt idx="20">
                  <c:v>44347</c:v>
                </c:pt>
              </c:numCache>
            </c:numRef>
          </c:cat>
          <c:val>
            <c:numRef>
              <c:f>'F1'!$D$2:$D$23</c:f>
              <c:numCache>
                <c:formatCode>0.0</c:formatCode>
                <c:ptCount val="22"/>
                <c:pt idx="0">
                  <c:v>100</c:v>
                </c:pt>
                <c:pt idx="1">
                  <c:v>100.02084600611028</c:v>
                </c:pt>
                <c:pt idx="2">
                  <c:v>99.080041828707351</c:v>
                </c:pt>
                <c:pt idx="3">
                  <c:v>99.9094394816521</c:v>
                </c:pt>
                <c:pt idx="4">
                  <c:v>100.64041664673195</c:v>
                </c:pt>
                <c:pt idx="5">
                  <c:v>101.31261490933696</c:v>
                </c:pt>
                <c:pt idx="6">
                  <c:v>102.12731783666301</c:v>
                </c:pt>
                <c:pt idx="7">
                  <c:v>101.50125417774468</c:v>
                </c:pt>
                <c:pt idx="8">
                  <c:v>100.44699304905306</c:v>
                </c:pt>
                <c:pt idx="9">
                  <c:v>100.31918310995074</c:v>
                </c:pt>
                <c:pt idx="10">
                  <c:v>101.99609051950983</c:v>
                </c:pt>
                <c:pt idx="11">
                  <c:v>103.26017866052452</c:v>
                </c:pt>
                <c:pt idx="12">
                  <c:v>102.72740942239477</c:v>
                </c:pt>
                <c:pt idx="13">
                  <c:v>101.87921619017027</c:v>
                </c:pt>
                <c:pt idx="14">
                  <c:v>103.71947427056067</c:v>
                </c:pt>
                <c:pt idx="15">
                  <c:v>103.87257280723941</c:v>
                </c:pt>
                <c:pt idx="16">
                  <c:v>103.94604643533299</c:v>
                </c:pt>
                <c:pt idx="17">
                  <c:v>104.58167875279374</c:v>
                </c:pt>
                <c:pt idx="18">
                  <c:v>104.83046387489667</c:v>
                </c:pt>
                <c:pt idx="19">
                  <c:v>105.4989030216457</c:v>
                </c:pt>
                <c:pt idx="20">
                  <c:v>106.50463738201506</c:v>
                </c:pt>
              </c:numCache>
            </c:numRef>
          </c:val>
          <c:smooth val="0"/>
          <c:extLst>
            <c:ext xmlns:c16="http://schemas.microsoft.com/office/drawing/2014/chart" uri="{C3380CC4-5D6E-409C-BE32-E72D297353CC}">
              <c16:uniqueId val="{00000000-3714-43FD-8A46-28CCCB4CBF6B}"/>
            </c:ext>
          </c:extLst>
        </c:ser>
        <c:ser>
          <c:idx val="3"/>
          <c:order val="1"/>
          <c:tx>
            <c:strRef>
              <c:f>'F1'!$E$1</c:f>
              <c:strCache>
                <c:ptCount val="1"/>
                <c:pt idx="0">
                  <c:v>Sensex </c:v>
                </c:pt>
              </c:strCache>
            </c:strRef>
          </c:tx>
          <c:spPr>
            <a:ln w="28575" cap="rnd">
              <a:solidFill>
                <a:srgbClr val="FF0000"/>
              </a:solidFill>
              <a:round/>
            </a:ln>
            <a:effectLst/>
          </c:spPr>
          <c:marker>
            <c:symbol val="none"/>
          </c:marker>
          <c:cat>
            <c:numRef>
              <c:f>'F1'!$A$2:$A$23</c:f>
              <c:numCache>
                <c:formatCode>[$-409]d\-mmm\-yy;@</c:formatCode>
                <c:ptCount val="22"/>
                <c:pt idx="0">
                  <c:v>44316</c:v>
                </c:pt>
                <c:pt idx="1">
                  <c:v>44319</c:v>
                </c:pt>
                <c:pt idx="2">
                  <c:v>44320</c:v>
                </c:pt>
                <c:pt idx="3">
                  <c:v>44321</c:v>
                </c:pt>
                <c:pt idx="4">
                  <c:v>44322</c:v>
                </c:pt>
                <c:pt idx="5">
                  <c:v>44323</c:v>
                </c:pt>
                <c:pt idx="6">
                  <c:v>44326</c:v>
                </c:pt>
                <c:pt idx="7">
                  <c:v>44327</c:v>
                </c:pt>
                <c:pt idx="8">
                  <c:v>44328</c:v>
                </c:pt>
                <c:pt idx="9">
                  <c:v>44330</c:v>
                </c:pt>
                <c:pt idx="10">
                  <c:v>44333</c:v>
                </c:pt>
                <c:pt idx="11">
                  <c:v>44334</c:v>
                </c:pt>
                <c:pt idx="12">
                  <c:v>44335</c:v>
                </c:pt>
                <c:pt idx="13">
                  <c:v>44336</c:v>
                </c:pt>
                <c:pt idx="14">
                  <c:v>44337</c:v>
                </c:pt>
                <c:pt idx="15">
                  <c:v>44340</c:v>
                </c:pt>
                <c:pt idx="16">
                  <c:v>44341</c:v>
                </c:pt>
                <c:pt idx="17">
                  <c:v>44342</c:v>
                </c:pt>
                <c:pt idx="18">
                  <c:v>44343</c:v>
                </c:pt>
                <c:pt idx="19">
                  <c:v>44344</c:v>
                </c:pt>
                <c:pt idx="20">
                  <c:v>44347</c:v>
                </c:pt>
              </c:numCache>
            </c:numRef>
          </c:cat>
          <c:val>
            <c:numRef>
              <c:f>'F1'!$E$2:$E$23</c:f>
              <c:numCache>
                <c:formatCode>0.0</c:formatCode>
                <c:ptCount val="22"/>
                <c:pt idx="0" formatCode="0">
                  <c:v>100</c:v>
                </c:pt>
                <c:pt idx="1">
                  <c:v>99.869133022674589</c:v>
                </c:pt>
                <c:pt idx="2">
                  <c:v>98.915899107792256</c:v>
                </c:pt>
                <c:pt idx="3">
                  <c:v>99.785147746029509</c:v>
                </c:pt>
                <c:pt idx="4">
                  <c:v>100.34315682964088</c:v>
                </c:pt>
                <c:pt idx="5">
                  <c:v>100.86939213272996</c:v>
                </c:pt>
                <c:pt idx="6">
                  <c:v>101.47604584936033</c:v>
                </c:pt>
                <c:pt idx="7">
                  <c:v>100.77784264639925</c:v>
                </c:pt>
                <c:pt idx="8">
                  <c:v>99.812309203572795</c:v>
                </c:pt>
                <c:pt idx="9">
                  <c:v>99.897893418850614</c:v>
                </c:pt>
                <c:pt idx="10">
                  <c:v>101.63659568745754</c:v>
                </c:pt>
                <c:pt idx="11">
                  <c:v>102.89237749055192</c:v>
                </c:pt>
                <c:pt idx="12">
                  <c:v>102.29648586087266</c:v>
                </c:pt>
                <c:pt idx="13">
                  <c:v>101.60406343604532</c:v>
                </c:pt>
                <c:pt idx="14">
                  <c:v>103.60400767818531</c:v>
                </c:pt>
                <c:pt idx="15">
                  <c:v>103.83240991210756</c:v>
                </c:pt>
                <c:pt idx="16">
                  <c:v>103.8029525426814</c:v>
                </c:pt>
                <c:pt idx="17">
                  <c:v>104.58190214659561</c:v>
                </c:pt>
                <c:pt idx="18">
                  <c:v>104.78217945995235</c:v>
                </c:pt>
                <c:pt idx="19">
                  <c:v>105.41285825450019</c:v>
                </c:pt>
                <c:pt idx="20">
                  <c:v>106.46766577098771</c:v>
                </c:pt>
              </c:numCache>
            </c:numRef>
          </c:val>
          <c:smooth val="0"/>
          <c:extLst>
            <c:ext xmlns:c16="http://schemas.microsoft.com/office/drawing/2014/chart" uri="{C3380CC4-5D6E-409C-BE32-E72D297353CC}">
              <c16:uniqueId val="{00000001-3714-43FD-8A46-28CCCB4CBF6B}"/>
            </c:ext>
          </c:extLst>
        </c:ser>
        <c:dLbls>
          <c:showLegendKey val="0"/>
          <c:showVal val="0"/>
          <c:showCatName val="0"/>
          <c:showSerName val="0"/>
          <c:showPercent val="0"/>
          <c:showBubbleSize val="0"/>
        </c:dLbls>
        <c:smooth val="0"/>
        <c:axId val="312233840"/>
        <c:axId val="312229920"/>
      </c:lineChart>
      <c:dateAx>
        <c:axId val="312233840"/>
        <c:scaling>
          <c:orientation val="minMax"/>
        </c:scaling>
        <c:delete val="0"/>
        <c:axPos val="b"/>
        <c:numFmt formatCode="[$-409]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29920"/>
        <c:crosses val="autoZero"/>
        <c:auto val="1"/>
        <c:lblOffset val="100"/>
        <c:baseTimeUnit val="days"/>
        <c:majorUnit val="1"/>
        <c:majorTimeUnit val="days"/>
        <c:minorUnit val="1"/>
        <c:minorTimeUnit val="days"/>
      </c:dateAx>
      <c:valAx>
        <c:axId val="312229920"/>
        <c:scaling>
          <c:orientation val="minMax"/>
          <c:max val="107"/>
          <c:min val="96"/>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33840"/>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'F11'!$B$3</c:f>
              <c:strCache>
                <c:ptCount val="1"/>
                <c:pt idx="0">
                  <c:v>BSE</c:v>
                </c:pt>
              </c:strCache>
            </c:strRef>
          </c:tx>
          <c:spPr>
            <a:solidFill>
              <a:srgbClr val="FF000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'F11'!$A$6:$A$17</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44326</c:v>
                </c:pt>
              </c:numCache>
            </c:numRef>
          </c:cat>
          <c:val>
            <c:numRef>
              <c:f>'F11'!$C$6:$C$17</c:f>
              <c:numCache>
                <c:formatCode>#,##0;\-#,##0;0</c:formatCode>
                <c:ptCount val="12"/>
                <c:pt idx="0">
                  <c:v>76987.05</c:v>
                </c:pt>
                <c:pt idx="1">
                  <c:v>80074.63</c:v>
                </c:pt>
                <c:pt idx="2">
                  <c:v>53915.519999999997</c:v>
                </c:pt>
                <c:pt idx="3">
                  <c:v>50693.919999999998</c:v>
                </c:pt>
                <c:pt idx="4">
                  <c:v>42448.36</c:v>
                </c:pt>
                <c:pt idx="5">
                  <c:v>35255.333224302012</c:v>
                </c:pt>
                <c:pt idx="6">
                  <c:v>34626.160000000003</c:v>
                </c:pt>
                <c:pt idx="7">
                  <c:v>48384.845524290002</c:v>
                </c:pt>
                <c:pt idx="8">
                  <c:v>43534.32</c:v>
                </c:pt>
                <c:pt idx="9">
                  <c:v>64043.87</c:v>
                </c:pt>
                <c:pt idx="10">
                  <c:v>60888.553099999997</c:v>
                </c:pt>
                <c:pt idx="11">
                  <c:v>54135.76</c:v>
                </c:pt>
              </c:numCache>
            </c:numRef>
          </c:val>
          <c:extLst>
            <c:ext xmlns:c16="http://schemas.microsoft.com/office/drawing/2014/chart" uri="{C3380CC4-5D6E-409C-BE32-E72D297353CC}">
              <c16:uniqueId val="{00000000-6664-4A25-A890-24D2C04F9046}"/>
            </c:ext>
          </c:extLst>
        </c:ser>
        <c:ser>
          <c:idx val="1"/>
          <c:order val="1"/>
          <c:tx>
            <c:strRef>
              <c:f>'F11'!$D$3</c:f>
              <c:strCache>
                <c:ptCount val="1"/>
                <c:pt idx="0">
                  <c:v>NSE</c:v>
                </c:pt>
              </c:strCache>
            </c:strRef>
          </c:tx>
          <c:spPr>
            <a:solidFill>
              <a:srgbClr val="00B05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'F11'!$A$6:$A$17</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44326</c:v>
                </c:pt>
              </c:numCache>
            </c:numRef>
          </c:cat>
          <c:val>
            <c:numRef>
              <c:f>'F11'!$E$6:$E$17</c:f>
              <c:numCache>
                <c:formatCode>0\,00\,000;\-0\,00\,000;0</c:formatCode>
                <c:ptCount val="12"/>
                <c:pt idx="0">
                  <c:v>130256.79</c:v>
                </c:pt>
                <c:pt idx="1">
                  <c:v>121730.01</c:v>
                </c:pt>
                <c:pt idx="2" formatCode="#,##0">
                  <c:v>89136.44</c:v>
                </c:pt>
                <c:pt idx="3" formatCode="#,##0">
                  <c:v>90782.64</c:v>
                </c:pt>
                <c:pt idx="4" formatCode="#,##0">
                  <c:v>88404.000000000015</c:v>
                </c:pt>
                <c:pt idx="5" formatCode="#,##0">
                  <c:v>79665.3</c:v>
                </c:pt>
                <c:pt idx="6" formatCode="#,##0">
                  <c:v>76874.000000000015</c:v>
                </c:pt>
                <c:pt idx="7" formatCode="#,##0">
                  <c:v>83618.37999999999</c:v>
                </c:pt>
                <c:pt idx="8" formatCode="#,##0">
                  <c:v>75565.039999999994</c:v>
                </c:pt>
                <c:pt idx="9" formatCode="#,##0">
                  <c:v>95400.379999999976</c:v>
                </c:pt>
                <c:pt idx="10" formatCode="#,##0">
                  <c:v>90992.76</c:v>
                </c:pt>
                <c:pt idx="11" formatCode="#,##0">
                  <c:v>79923.94</c:v>
                </c:pt>
              </c:numCache>
            </c:numRef>
          </c:val>
          <c:extLst>
            <c:ext xmlns:c16="http://schemas.microsoft.com/office/drawing/2014/chart" uri="{C3380CC4-5D6E-409C-BE32-E72D297353CC}">
              <c16:uniqueId val="{00000001-6664-4A25-A890-24D2C04F9046}"/>
            </c:ext>
          </c:extLst>
        </c:ser>
        <c:dLbls>
          <c:showLegendKey val="0"/>
          <c:showVal val="0"/>
          <c:showCatName val="0"/>
          <c:showSerName val="0"/>
          <c:showPercent val="0"/>
          <c:showBubbleSize val="0"/>
        </c:dLbls>
        <c:gapWidth val="219"/>
        <c:overlap val="-27"/>
        <c:axId val="593170176"/>
        <c:axId val="593170568"/>
      </c:barChart>
      <c:dateAx>
        <c:axId val="593170176"/>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70568"/>
        <c:crosses val="autoZero"/>
        <c:auto val="1"/>
        <c:lblOffset val="100"/>
        <c:baseTimeUnit val="months"/>
      </c:dateAx>
      <c:valAx>
        <c:axId val="593170568"/>
        <c:scaling>
          <c:orientation val="minMax"/>
          <c:min val="30000"/>
        </c:scaling>
        <c:delete val="1"/>
        <c:axPos val="l"/>
        <c:numFmt formatCode="#,##0;\-#,##0;0" sourceLinked="1"/>
        <c:majorTickMark val="none"/>
        <c:minorTickMark val="none"/>
        <c:tickLblPos val="nextTo"/>
        <c:crossAx val="593170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'F12'!$B$2</c:f>
              <c:strCache>
                <c:ptCount val="1"/>
                <c:pt idx="0">
                  <c:v>Equity</c:v>
                </c:pt>
              </c:strCache>
            </c:strRef>
          </c:tx>
          <c:spPr>
            <a:solidFill>
              <a:schemeClr val="accent1"/>
            </a:solidFill>
            <a:ln>
              <a:noFill/>
            </a:ln>
            <a:effectLst/>
          </c:spPr>
          <c:invertIfNegative val="0"/>
          <c:cat>
            <c:numRef>
              <c:f>'F12'!$A$4:$A$15</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44326</c:v>
                </c:pt>
              </c:numCache>
            </c:numRef>
          </c:cat>
          <c:val>
            <c:numRef>
              <c:f>'F12'!$B$4:$B$15</c:f>
              <c:numCache>
                <c:formatCode>#,##0;\-#,##0;0</c:formatCode>
                <c:ptCount val="12"/>
                <c:pt idx="0" formatCode="[&gt;9999999]##\,##\,##\,##0;[&gt;99999]##\,##\,##0;##,##0">
                  <c:v>-501.5</c:v>
                </c:pt>
                <c:pt idx="1">
                  <c:v>-9195.0400000000009</c:v>
                </c:pt>
                <c:pt idx="2">
                  <c:v>-9213.44</c:v>
                </c:pt>
                <c:pt idx="3">
                  <c:v>-4134.37</c:v>
                </c:pt>
                <c:pt idx="4">
                  <c:v>-14491.79</c:v>
                </c:pt>
                <c:pt idx="5">
                  <c:v>-30760.07</c:v>
                </c:pt>
                <c:pt idx="6">
                  <c:v>-26427.83</c:v>
                </c:pt>
                <c:pt idx="7">
                  <c:v>-13031.78</c:v>
                </c:pt>
                <c:pt idx="8">
                  <c:v>-16306</c:v>
                </c:pt>
                <c:pt idx="9">
                  <c:v>4772.83</c:v>
                </c:pt>
                <c:pt idx="10">
                  <c:v>5526.36</c:v>
                </c:pt>
                <c:pt idx="11" formatCode="[&gt;9999999]##\,##\,##\,##0;[&gt;99999]##\,##\,##0;##,##0">
                  <c:v>475.75</c:v>
                </c:pt>
              </c:numCache>
            </c:numRef>
          </c:val>
          <c:extLst>
            <c:ext xmlns:c16="http://schemas.microsoft.com/office/drawing/2014/chart" uri="{C3380CC4-5D6E-409C-BE32-E72D297353CC}">
              <c16:uniqueId val="{00000000-47CF-4506-8889-21B2BEC12636}"/>
            </c:ext>
          </c:extLst>
        </c:ser>
        <c:ser>
          <c:idx val="1"/>
          <c:order val="1"/>
          <c:tx>
            <c:strRef>
              <c:f>'F12'!$C$2</c:f>
              <c:strCache>
                <c:ptCount val="1"/>
                <c:pt idx="0">
                  <c:v>Debt</c:v>
                </c:pt>
              </c:strCache>
            </c:strRef>
          </c:tx>
          <c:spPr>
            <a:solidFill>
              <a:schemeClr val="accent2"/>
            </a:solidFill>
            <a:ln>
              <a:noFill/>
            </a:ln>
            <a:effectLst/>
          </c:spPr>
          <c:invertIfNegative val="0"/>
          <c:cat>
            <c:numRef>
              <c:f>'F12'!$A$4:$A$15</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44326</c:v>
                </c:pt>
              </c:numCache>
            </c:numRef>
          </c:cat>
          <c:val>
            <c:numRef>
              <c:f>'F12'!$C$4:$C$15</c:f>
              <c:numCache>
                <c:formatCode>#,##0;\-#,##0;0</c:formatCode>
                <c:ptCount val="12"/>
                <c:pt idx="0" formatCode="[&gt;9999999]##\,##\,##\,##0;[&gt;99999]##\,##\,##0;##,##0">
                  <c:v>41364.71</c:v>
                </c:pt>
                <c:pt idx="1">
                  <c:v>31897.85</c:v>
                </c:pt>
                <c:pt idx="2">
                  <c:v>25780.28</c:v>
                </c:pt>
                <c:pt idx="3">
                  <c:v>17004.97</c:v>
                </c:pt>
                <c:pt idx="4">
                  <c:v>31975.11</c:v>
                </c:pt>
                <c:pt idx="5">
                  <c:v>20349.349999999999</c:v>
                </c:pt>
                <c:pt idx="6">
                  <c:v>23368.42</c:v>
                </c:pt>
                <c:pt idx="7">
                  <c:v>11831.74</c:v>
                </c:pt>
                <c:pt idx="8">
                  <c:v>8161.78</c:v>
                </c:pt>
                <c:pt idx="9">
                  <c:v>15661.48</c:v>
                </c:pt>
                <c:pt idx="10">
                  <c:v>21588.400000000001</c:v>
                </c:pt>
                <c:pt idx="11" formatCode="[&gt;9999999]##\,##\,##\,##0;[&gt;99999]##\,##\,##0;##,##0">
                  <c:v>4238.12</c:v>
                </c:pt>
              </c:numCache>
            </c:numRef>
          </c:val>
          <c:extLst>
            <c:ext xmlns:c16="http://schemas.microsoft.com/office/drawing/2014/chart" uri="{C3380CC4-5D6E-409C-BE32-E72D297353CC}">
              <c16:uniqueId val="{00000001-47CF-4506-8889-21B2BEC12636}"/>
            </c:ext>
          </c:extLst>
        </c:ser>
        <c:dLbls>
          <c:showLegendKey val="0"/>
          <c:showVal val="0"/>
          <c:showCatName val="0"/>
          <c:showSerName val="0"/>
          <c:showPercent val="0"/>
          <c:showBubbleSize val="0"/>
        </c:dLbls>
        <c:gapWidth val="219"/>
        <c:overlap val="-27"/>
        <c:axId val="593171352"/>
        <c:axId val="593171744"/>
      </c:barChart>
      <c:lineChart>
        <c:grouping val="standard"/>
        <c:varyColors val="0"/>
        <c:ser>
          <c:idx val="2"/>
          <c:order val="2"/>
          <c:tx>
            <c:strRef>
              <c:f>'F12'!$D$2</c:f>
              <c:strCache>
                <c:ptCount val="1"/>
                <c:pt idx="0">
                  <c:v>Total</c:v>
                </c:pt>
              </c:strCache>
            </c:strRef>
          </c:tx>
          <c:spPr>
            <a:ln w="28575" cap="rnd">
              <a:solidFill>
                <a:schemeClr val="accent3"/>
              </a:solidFill>
              <a:round/>
            </a:ln>
            <a:effectLst/>
          </c:spPr>
          <c:marker>
            <c:symbol val="none"/>
          </c:marker>
          <c:cat>
            <c:numRef>
              <c:f>'F12'!$A$4:$A$15</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44326</c:v>
                </c:pt>
              </c:numCache>
            </c:numRef>
          </c:cat>
          <c:val>
            <c:numRef>
              <c:f>'F12'!$D$4:$D$15</c:f>
              <c:numCache>
                <c:formatCode>[&gt;9999999]##\,##\,##\,##0;[&gt;99999]##\,##\,##0;##,##0</c:formatCode>
                <c:ptCount val="12"/>
                <c:pt idx="0">
                  <c:v>40863.21</c:v>
                </c:pt>
                <c:pt idx="1">
                  <c:v>22702.809999999998</c:v>
                </c:pt>
                <c:pt idx="2">
                  <c:v>16566.839999999997</c:v>
                </c:pt>
                <c:pt idx="3">
                  <c:v>12870.600000000002</c:v>
                </c:pt>
                <c:pt idx="4">
                  <c:v>17483.32</c:v>
                </c:pt>
                <c:pt idx="5">
                  <c:v>-10410.720000000001</c:v>
                </c:pt>
                <c:pt idx="6">
                  <c:v>-3059.4100000000035</c:v>
                </c:pt>
                <c:pt idx="7">
                  <c:v>-1200.0400000000009</c:v>
                </c:pt>
                <c:pt idx="8">
                  <c:v>-8144.22</c:v>
                </c:pt>
                <c:pt idx="9">
                  <c:v>20434.309999999998</c:v>
                </c:pt>
                <c:pt idx="10">
                  <c:v>27114.760000000002</c:v>
                </c:pt>
                <c:pt idx="11">
                  <c:v>4713.87</c:v>
                </c:pt>
              </c:numCache>
            </c:numRef>
          </c:val>
          <c:smooth val="0"/>
          <c:extLst>
            <c:ext xmlns:c16="http://schemas.microsoft.com/office/drawing/2014/chart" uri="{C3380CC4-5D6E-409C-BE32-E72D297353CC}">
              <c16:uniqueId val="{00000002-47CF-4506-8889-21B2BEC12636}"/>
            </c:ext>
          </c:extLst>
        </c:ser>
        <c:dLbls>
          <c:showLegendKey val="0"/>
          <c:showVal val="0"/>
          <c:showCatName val="0"/>
          <c:showSerName val="0"/>
          <c:showPercent val="0"/>
          <c:showBubbleSize val="0"/>
        </c:dLbls>
        <c:marker val="1"/>
        <c:smooth val="0"/>
        <c:axId val="593171352"/>
        <c:axId val="593171744"/>
      </c:lineChart>
      <c:dateAx>
        <c:axId val="593171352"/>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71744"/>
        <c:crosses val="autoZero"/>
        <c:auto val="1"/>
        <c:lblOffset val="100"/>
        <c:baseTimeUnit val="months"/>
      </c:dateAx>
      <c:valAx>
        <c:axId val="593171744"/>
        <c:scaling>
          <c:orientation val="minMax"/>
        </c:scaling>
        <c:delete val="0"/>
        <c:axPos val="l"/>
        <c:numFmt formatCode="[&gt;9999999]##\,##\,##\,##0;[&gt;99999]##\,##\,##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71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'F14'!$I$4:$I$5</c:f>
              <c:strCache>
                <c:ptCount val="2"/>
                <c:pt idx="0">
                  <c:v>Closed Value (RHS)</c:v>
                </c:pt>
              </c:strCache>
            </c:strRef>
          </c:tx>
          <c:spPr>
            <a:solidFill>
              <a:srgbClr val="FF0000"/>
            </a:solidFill>
            <a:ln>
              <a:noFill/>
            </a:ln>
            <a:effectLst/>
          </c:spPr>
          <c:invertIfNegative val="0"/>
          <c:cat>
            <c:numRef>
              <c:f>'F14'!$A$7:$A$18</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44326</c:v>
                </c:pt>
              </c:numCache>
            </c:numRef>
          </c:cat>
          <c:val>
            <c:numRef>
              <c:f>'F14'!$I$7:$I$18</c:f>
              <c:numCache>
                <c:formatCode>#,##0;\-#,##0;0.0</c:formatCode>
                <c:ptCount val="12"/>
                <c:pt idx="0">
                  <c:v>1088.1099999999999</c:v>
                </c:pt>
                <c:pt idx="1">
                  <c:v>528.16</c:v>
                </c:pt>
                <c:pt idx="2">
                  <c:v>3861.67</c:v>
                </c:pt>
                <c:pt idx="3">
                  <c:v>3010.3900000000003</c:v>
                </c:pt>
                <c:pt idx="4">
                  <c:v>480.5</c:v>
                </c:pt>
                <c:pt idx="5">
                  <c:v>0</c:v>
                </c:pt>
                <c:pt idx="6">
                  <c:v>47.49</c:v>
                </c:pt>
                <c:pt idx="7">
                  <c:v>140.80000000000001</c:v>
                </c:pt>
                <c:pt idx="8">
                  <c:v>211.18</c:v>
                </c:pt>
                <c:pt idx="9">
                  <c:v>440.03000000000003</c:v>
                </c:pt>
                <c:pt idx="10">
                  <c:v>5974.8600000000006</c:v>
                </c:pt>
                <c:pt idx="11">
                  <c:v>1400.44</c:v>
                </c:pt>
              </c:numCache>
            </c:numRef>
          </c:val>
          <c:extLst>
            <c:ext xmlns:c16="http://schemas.microsoft.com/office/drawing/2014/chart" uri="{C3380CC4-5D6E-409C-BE32-E72D297353CC}">
              <c16:uniqueId val="{00000000-C37D-465D-9EF2-8D24F37ED62E}"/>
            </c:ext>
          </c:extLst>
        </c:ser>
        <c:dLbls>
          <c:showLegendKey val="0"/>
          <c:showVal val="0"/>
          <c:showCatName val="0"/>
          <c:showSerName val="0"/>
          <c:showPercent val="0"/>
          <c:showBubbleSize val="0"/>
        </c:dLbls>
        <c:gapWidth val="219"/>
        <c:axId val="592540232"/>
        <c:axId val="593176056"/>
      </c:barChart>
      <c:lineChart>
        <c:grouping val="standard"/>
        <c:varyColors val="0"/>
        <c:ser>
          <c:idx val="0"/>
          <c:order val="0"/>
          <c:tx>
            <c:strRef>
              <c:f>'F14'!$H$4:$H$5</c:f>
              <c:strCache>
                <c:ptCount val="2"/>
                <c:pt idx="0">
                  <c:v> Open Offers (LHS)</c:v>
                </c:pt>
              </c:strCache>
            </c:strRef>
          </c:tx>
          <c:spPr>
            <a:ln w="28575" cap="rnd">
              <a:solidFill>
                <a:srgbClr val="00B050"/>
              </a:solidFill>
              <a:round/>
            </a:ln>
            <a:effectLst/>
          </c:spPr>
          <c:marker>
            <c:symbol val="none"/>
          </c:marker>
          <c:cat>
            <c:numRef>
              <c:f>'F14'!$A$7:$A$18</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44326</c:v>
                </c:pt>
              </c:numCache>
            </c:numRef>
          </c:cat>
          <c:val>
            <c:numRef>
              <c:f>'F14'!$H$7:$H$18</c:f>
              <c:numCache>
                <c:formatCode>General</c:formatCode>
                <c:ptCount val="12"/>
                <c:pt idx="0">
                  <c:v>4</c:v>
                </c:pt>
                <c:pt idx="1">
                  <c:v>2</c:v>
                </c:pt>
                <c:pt idx="2">
                  <c:v>9</c:v>
                </c:pt>
                <c:pt idx="3">
                  <c:v>6</c:v>
                </c:pt>
                <c:pt idx="4">
                  <c:v>6</c:v>
                </c:pt>
                <c:pt idx="5">
                  <c:v>0</c:v>
                </c:pt>
                <c:pt idx="6">
                  <c:v>4</c:v>
                </c:pt>
                <c:pt idx="7">
                  <c:v>3</c:v>
                </c:pt>
                <c:pt idx="8">
                  <c:v>5</c:v>
                </c:pt>
                <c:pt idx="9">
                  <c:v>3</c:v>
                </c:pt>
                <c:pt idx="10">
                  <c:v>6</c:v>
                </c:pt>
                <c:pt idx="11">
                  <c:v>3</c:v>
                </c:pt>
              </c:numCache>
            </c:numRef>
          </c:val>
          <c:smooth val="0"/>
          <c:extLst>
            <c:ext xmlns:c16="http://schemas.microsoft.com/office/drawing/2014/chart" uri="{C3380CC4-5D6E-409C-BE32-E72D297353CC}">
              <c16:uniqueId val="{00000001-C37D-465D-9EF2-8D24F37ED62E}"/>
            </c:ext>
          </c:extLst>
        </c:ser>
        <c:dLbls>
          <c:showLegendKey val="0"/>
          <c:showVal val="0"/>
          <c:showCatName val="0"/>
          <c:showSerName val="0"/>
          <c:showPercent val="0"/>
          <c:showBubbleSize val="0"/>
        </c:dLbls>
        <c:marker val="1"/>
        <c:smooth val="0"/>
        <c:axId val="593169784"/>
        <c:axId val="593174488"/>
      </c:lineChart>
      <c:dateAx>
        <c:axId val="593169784"/>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74488"/>
        <c:crosses val="autoZero"/>
        <c:auto val="1"/>
        <c:lblOffset val="100"/>
        <c:baseTimeUnit val="months"/>
      </c:dateAx>
      <c:valAx>
        <c:axId val="59317448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69784"/>
        <c:crosses val="autoZero"/>
        <c:crossBetween val="between"/>
        <c:majorUnit val="2"/>
      </c:valAx>
      <c:valAx>
        <c:axId val="593176056"/>
        <c:scaling>
          <c:orientation val="minMax"/>
          <c:max val="4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IN">
                    <a:latin typeface="Rupee Foradian" panose="020B0603030804020204" pitchFamily="34" charset="0"/>
                  </a:rPr>
                  <a:t>`</a:t>
                </a:r>
                <a:r>
                  <a:rPr lang="en-IN"/>
                  <a:t> Crore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40232"/>
        <c:crosses val="max"/>
        <c:crossBetween val="between"/>
      </c:valAx>
      <c:dateAx>
        <c:axId val="592540232"/>
        <c:scaling>
          <c:orientation val="minMax"/>
        </c:scaling>
        <c:delete val="1"/>
        <c:axPos val="b"/>
        <c:numFmt formatCode="[$-409]mmm\-yy" sourceLinked="1"/>
        <c:majorTickMark val="out"/>
        <c:minorTickMark val="none"/>
        <c:tickLblPos val="nextTo"/>
        <c:crossAx val="593176056"/>
        <c:crosses val="autoZero"/>
        <c:auto val="1"/>
        <c:lblOffset val="100"/>
        <c:baseTimeUnit val="months"/>
        <c:majorUnit val="1"/>
        <c:minorUnit val="1"/>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accent5">
                    <a:lumMod val="75000"/>
                  </a:schemeClr>
                </a:solidFill>
                <a:latin typeface="Palatino Linotype" panose="02040502050505030304" pitchFamily="18" charset="0"/>
                <a:ea typeface="+mn-ea"/>
                <a:cs typeface="+mn-cs"/>
              </a:defRPr>
            </a:pPr>
            <a:r>
              <a:rPr lang="en-IN" sz="1000" b="1">
                <a:solidFill>
                  <a:schemeClr val="accent5">
                    <a:lumMod val="75000"/>
                  </a:schemeClr>
                </a:solidFill>
                <a:latin typeface="Palatino Linotype" panose="02040502050505030304" pitchFamily="18" charset="0"/>
              </a:rPr>
              <a:t>Domestic Commodity Indices</a:t>
            </a:r>
          </a:p>
        </c:rich>
      </c:tx>
      <c:layout>
        <c:manualLayout>
          <c:xMode val="edge"/>
          <c:yMode val="edge"/>
          <c:x val="0.31095560376719084"/>
          <c:y val="2.899333446828051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accent5">
                  <a:lumMod val="75000"/>
                </a:schemeClr>
              </a:solidFill>
              <a:latin typeface="Palatino Linotype" panose="02040502050505030304" pitchFamily="18" charset="0"/>
              <a:ea typeface="+mn-ea"/>
              <a:cs typeface="+mn-cs"/>
            </a:defRPr>
          </a:pPr>
          <a:endParaRPr lang="en-US"/>
        </a:p>
      </c:txPr>
    </c:title>
    <c:autoTitleDeleted val="0"/>
    <c:plotArea>
      <c:layout>
        <c:manualLayout>
          <c:layoutTarget val="inner"/>
          <c:xMode val="edge"/>
          <c:yMode val="edge"/>
          <c:x val="3.0445248133130945E-2"/>
          <c:y val="9.5263813252921672E-2"/>
          <c:w val="0.93910950373373814"/>
          <c:h val="0.61406543896862764"/>
        </c:manualLayout>
      </c:layout>
      <c:lineChart>
        <c:grouping val="standard"/>
        <c:varyColors val="0"/>
        <c:ser>
          <c:idx val="0"/>
          <c:order val="0"/>
          <c:tx>
            <c:v>MCX iCOMDEX Composite index</c:v>
          </c:tx>
          <c:spPr>
            <a:ln w="28575" cap="rnd">
              <a:solidFill>
                <a:schemeClr val="accent1"/>
              </a:solidFill>
              <a:round/>
            </a:ln>
            <a:effectLst/>
          </c:spPr>
          <c:marker>
            <c:symbol val="none"/>
          </c:marker>
          <c:cat>
            <c:numRef>
              <c:f>Graph!$D$279:$D$299</c:f>
              <c:numCache>
                <c:formatCode>d\-mmm\-yy</c:formatCode>
                <c:ptCount val="21"/>
                <c:pt idx="0">
                  <c:v>44316</c:v>
                </c:pt>
                <c:pt idx="1">
                  <c:v>44319</c:v>
                </c:pt>
                <c:pt idx="2">
                  <c:v>44320</c:v>
                </c:pt>
                <c:pt idx="3">
                  <c:v>44321</c:v>
                </c:pt>
                <c:pt idx="4">
                  <c:v>44322</c:v>
                </c:pt>
                <c:pt idx="5">
                  <c:v>44323</c:v>
                </c:pt>
                <c:pt idx="6">
                  <c:v>44326</c:v>
                </c:pt>
                <c:pt idx="7">
                  <c:v>44327</c:v>
                </c:pt>
                <c:pt idx="8">
                  <c:v>44328</c:v>
                </c:pt>
                <c:pt idx="9">
                  <c:v>44329</c:v>
                </c:pt>
                <c:pt idx="10">
                  <c:v>44330</c:v>
                </c:pt>
                <c:pt idx="11">
                  <c:v>44333</c:v>
                </c:pt>
                <c:pt idx="12">
                  <c:v>44334</c:v>
                </c:pt>
                <c:pt idx="13">
                  <c:v>44335</c:v>
                </c:pt>
                <c:pt idx="14">
                  <c:v>44336</c:v>
                </c:pt>
                <c:pt idx="15">
                  <c:v>44337</c:v>
                </c:pt>
                <c:pt idx="16">
                  <c:v>44340</c:v>
                </c:pt>
                <c:pt idx="17">
                  <c:v>44341</c:v>
                </c:pt>
                <c:pt idx="18">
                  <c:v>44342</c:v>
                </c:pt>
                <c:pt idx="19">
                  <c:v>44343</c:v>
                </c:pt>
                <c:pt idx="20">
                  <c:v>44344</c:v>
                </c:pt>
              </c:numCache>
            </c:numRef>
          </c:cat>
          <c:val>
            <c:numRef>
              <c:f>Graph!$E$279:$E$300</c:f>
              <c:numCache>
                <c:formatCode>_(* #,##0.00_);_(* \(#,##0.00\);_(* "-"??_);_(@_)</c:formatCode>
                <c:ptCount val="22"/>
                <c:pt idx="0">
                  <c:v>100</c:v>
                </c:pt>
                <c:pt idx="1">
                  <c:v>101.47175525867608</c:v>
                </c:pt>
                <c:pt idx="2">
                  <c:v>101.19665493827992</c:v>
                </c:pt>
                <c:pt idx="3">
                  <c:v>101.27035054844814</c:v>
                </c:pt>
                <c:pt idx="4">
                  <c:v>102.25211987220105</c:v>
                </c:pt>
                <c:pt idx="5">
                  <c:v>102.6828797009037</c:v>
                </c:pt>
                <c:pt idx="6">
                  <c:v>102.74003873513171</c:v>
                </c:pt>
                <c:pt idx="7">
                  <c:v>102.98925571927366</c:v>
                </c:pt>
                <c:pt idx="8">
                  <c:v>102.79387247963261</c:v>
                </c:pt>
                <c:pt idx="9">
                  <c:v>101.4670818785191</c:v>
                </c:pt>
                <c:pt idx="10">
                  <c:v>102.15281054386463</c:v>
                </c:pt>
                <c:pt idx="11">
                  <c:v>104.07986087706765</c:v>
                </c:pt>
                <c:pt idx="12">
                  <c:v>103.42801421786042</c:v>
                </c:pt>
                <c:pt idx="13">
                  <c:v>102.2064645429749</c:v>
                </c:pt>
                <c:pt idx="14">
                  <c:v>101.44254663269481</c:v>
                </c:pt>
                <c:pt idx="15">
                  <c:v>100.9432139374576</c:v>
                </c:pt>
                <c:pt idx="16">
                  <c:v>101.86135339291893</c:v>
                </c:pt>
                <c:pt idx="17">
                  <c:v>102.11793993807771</c:v>
                </c:pt>
                <c:pt idx="18">
                  <c:v>101.93109460449273</c:v>
                </c:pt>
                <c:pt idx="19">
                  <c:v>102.74579058763261</c:v>
                </c:pt>
                <c:pt idx="20">
                  <c:v>102.5976803857336</c:v>
                </c:pt>
                <c:pt idx="21">
                  <c:v>102.96642805466057</c:v>
                </c:pt>
              </c:numCache>
            </c:numRef>
          </c:val>
          <c:smooth val="0"/>
          <c:extLst>
            <c:ext xmlns:c16="http://schemas.microsoft.com/office/drawing/2014/chart" uri="{C3380CC4-5D6E-409C-BE32-E72D297353CC}">
              <c16:uniqueId val="{00000000-8CA5-4BC6-B710-70C7BD092799}"/>
            </c:ext>
          </c:extLst>
        </c:ser>
        <c:ser>
          <c:idx val="1"/>
          <c:order val="1"/>
          <c:tx>
            <c:v>NCDEX Nkrishi Index</c:v>
          </c:tx>
          <c:spPr>
            <a:ln w="28575" cap="rnd">
              <a:solidFill>
                <a:schemeClr val="accent2"/>
              </a:solidFill>
              <a:round/>
            </a:ln>
            <a:effectLst/>
          </c:spPr>
          <c:marker>
            <c:symbol val="none"/>
          </c:marker>
          <c:cat>
            <c:numRef>
              <c:f>Graph!$D$279:$D$299</c:f>
              <c:numCache>
                <c:formatCode>d\-mmm\-yy</c:formatCode>
                <c:ptCount val="21"/>
                <c:pt idx="0">
                  <c:v>44316</c:v>
                </c:pt>
                <c:pt idx="1">
                  <c:v>44319</c:v>
                </c:pt>
                <c:pt idx="2">
                  <c:v>44320</c:v>
                </c:pt>
                <c:pt idx="3">
                  <c:v>44321</c:v>
                </c:pt>
                <c:pt idx="4">
                  <c:v>44322</c:v>
                </c:pt>
                <c:pt idx="5">
                  <c:v>44323</c:v>
                </c:pt>
                <c:pt idx="6">
                  <c:v>44326</c:v>
                </c:pt>
                <c:pt idx="7">
                  <c:v>44327</c:v>
                </c:pt>
                <c:pt idx="8">
                  <c:v>44328</c:v>
                </c:pt>
                <c:pt idx="9">
                  <c:v>44329</c:v>
                </c:pt>
                <c:pt idx="10">
                  <c:v>44330</c:v>
                </c:pt>
                <c:pt idx="11">
                  <c:v>44333</c:v>
                </c:pt>
                <c:pt idx="12">
                  <c:v>44334</c:v>
                </c:pt>
                <c:pt idx="13">
                  <c:v>44335</c:v>
                </c:pt>
                <c:pt idx="14">
                  <c:v>44336</c:v>
                </c:pt>
                <c:pt idx="15">
                  <c:v>44337</c:v>
                </c:pt>
                <c:pt idx="16">
                  <c:v>44340</c:v>
                </c:pt>
                <c:pt idx="17">
                  <c:v>44341</c:v>
                </c:pt>
                <c:pt idx="18">
                  <c:v>44342</c:v>
                </c:pt>
                <c:pt idx="19">
                  <c:v>44343</c:v>
                </c:pt>
                <c:pt idx="20">
                  <c:v>44344</c:v>
                </c:pt>
              </c:numCache>
            </c:numRef>
          </c:cat>
          <c:val>
            <c:numRef>
              <c:f>Graph!$F$279:$F$300</c:f>
              <c:numCache>
                <c:formatCode>_(* #,##0.00_);_(* \(#,##0.00\);_(* "-"??_);_(@_)</c:formatCode>
                <c:ptCount val="22"/>
                <c:pt idx="0">
                  <c:v>100</c:v>
                </c:pt>
                <c:pt idx="1">
                  <c:v>99.358140304925797</c:v>
                </c:pt>
                <c:pt idx="2">
                  <c:v>100.87236883159886</c:v>
                </c:pt>
                <c:pt idx="3">
                  <c:v>101.93194674092769</c:v>
                </c:pt>
                <c:pt idx="4">
                  <c:v>103.15878174011051</c:v>
                </c:pt>
                <c:pt idx="5">
                  <c:v>103.53383666114097</c:v>
                </c:pt>
                <c:pt idx="6">
                  <c:v>105.04190978729908</c:v>
                </c:pt>
                <c:pt idx="7">
                  <c:v>105.14909865833494</c:v>
                </c:pt>
                <c:pt idx="8">
                  <c:v>104.95488515932936</c:v>
                </c:pt>
                <c:pt idx="9">
                  <c:v>104.95488515932936</c:v>
                </c:pt>
                <c:pt idx="10">
                  <c:v>103.62829022076663</c:v>
                </c:pt>
                <c:pt idx="11">
                  <c:v>103.50836603832056</c:v>
                </c:pt>
                <c:pt idx="12">
                  <c:v>102.95650254387847</c:v>
                </c:pt>
                <c:pt idx="13">
                  <c:v>102.53199216353839</c:v>
                </c:pt>
                <c:pt idx="14">
                  <c:v>100.72676177114222</c:v>
                </c:pt>
                <c:pt idx="15">
                  <c:v>100.13775361842036</c:v>
                </c:pt>
                <c:pt idx="16">
                  <c:v>100.71190390783032</c:v>
                </c:pt>
                <c:pt idx="17">
                  <c:v>101.5067995950171</c:v>
                </c:pt>
                <c:pt idx="18">
                  <c:v>101.07910538682447</c:v>
                </c:pt>
                <c:pt idx="19">
                  <c:v>100.82333788266959</c:v>
                </c:pt>
                <c:pt idx="20">
                  <c:v>100.95387482462415</c:v>
                </c:pt>
                <c:pt idx="21">
                  <c:v>100.62912438366399</c:v>
                </c:pt>
              </c:numCache>
            </c:numRef>
          </c:val>
          <c:smooth val="0"/>
          <c:extLst>
            <c:ext xmlns:c16="http://schemas.microsoft.com/office/drawing/2014/chart" uri="{C3380CC4-5D6E-409C-BE32-E72D297353CC}">
              <c16:uniqueId val="{00000001-8CA5-4BC6-B710-70C7BD092799}"/>
            </c:ext>
          </c:extLst>
        </c:ser>
        <c:dLbls>
          <c:showLegendKey val="0"/>
          <c:showVal val="0"/>
          <c:showCatName val="0"/>
          <c:showSerName val="0"/>
          <c:showPercent val="0"/>
          <c:showBubbleSize val="0"/>
        </c:dLbls>
        <c:smooth val="0"/>
        <c:axId val="263980600"/>
        <c:axId val="263981776"/>
      </c:lineChart>
      <c:dateAx>
        <c:axId val="263980600"/>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263981776"/>
        <c:crosses val="autoZero"/>
        <c:auto val="1"/>
        <c:lblOffset val="100"/>
        <c:baseTimeUnit val="days"/>
        <c:majorUnit val="2"/>
        <c:majorTimeUnit val="days"/>
      </c:dateAx>
      <c:valAx>
        <c:axId val="263981776"/>
        <c:scaling>
          <c:orientation val="minMax"/>
          <c:max val="106"/>
          <c:min val="96"/>
        </c:scaling>
        <c:delete val="0"/>
        <c:axPos val="l"/>
        <c:majorGridlines>
          <c:spPr>
            <a:ln w="9525" cap="flat" cmpd="sng" algn="ctr">
              <a:solidFill>
                <a:srgbClr val="0070C0"/>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263980600"/>
        <c:crosses val="autoZero"/>
        <c:crossBetween val="between"/>
        <c:majorUnit val="2"/>
      </c:valAx>
      <c:spPr>
        <a:noFill/>
        <a:ln>
          <a:noFill/>
        </a:ln>
        <a:effectLst/>
      </c:spPr>
    </c:plotArea>
    <c:legend>
      <c:legendPos val="b"/>
      <c:layout>
        <c:manualLayout>
          <c:xMode val="edge"/>
          <c:yMode val="edge"/>
          <c:x val="4.9999945516735624E-2"/>
          <c:y val="0.91340808018773056"/>
          <c:w val="0.89999989103347122"/>
          <c:h val="6.312252042869537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7752615371433"/>
          <c:y val="2.3414388003439247E-2"/>
          <c:w val="0.78749864010268145"/>
          <c:h val="0.64042712487673603"/>
        </c:manualLayout>
      </c:layout>
      <c:barChart>
        <c:barDir val="col"/>
        <c:grouping val="clustered"/>
        <c:varyColors val="0"/>
        <c:ser>
          <c:idx val="0"/>
          <c:order val="0"/>
          <c:tx>
            <c:strRef>
              <c:f>'Turnover charts'!$B$3</c:f>
              <c:strCache>
                <c:ptCount val="1"/>
                <c:pt idx="0">
                  <c:v>MCX Agri Futures (LHS)</c:v>
                </c:pt>
              </c:strCache>
            </c:strRef>
          </c:tx>
          <c:spPr>
            <a:solidFill>
              <a:srgbClr val="0070C0"/>
            </a:solidFill>
            <a:ln>
              <a:solidFill>
                <a:sysClr val="windowText" lastClr="000000"/>
              </a:solidFill>
            </a:ln>
            <a:effectLst/>
          </c:spPr>
          <c:invertIfNegative val="0"/>
          <c:cat>
            <c:numRef>
              <c:f>'Turnover charts'!$A$45:$A$57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extLst/>
            </c:numRef>
          </c:cat>
          <c:val>
            <c:numRef>
              <c:f>'Turnover charts'!$B$45:$B$57</c:f>
              <c:numCache>
                <c:formatCode>#,##0</c:formatCode>
                <c:ptCount val="12"/>
                <c:pt idx="0">
                  <c:v>6367.6581902000007</c:v>
                </c:pt>
                <c:pt idx="1">
                  <c:v>7277.3962512000026</c:v>
                </c:pt>
                <c:pt idx="2">
                  <c:v>5824.4504842000024</c:v>
                </c:pt>
                <c:pt idx="3">
                  <c:v>6838.5318600000001</c:v>
                </c:pt>
                <c:pt idx="4">
                  <c:v>7096.0901250000006</c:v>
                </c:pt>
                <c:pt idx="5">
                  <c:v>10138.218927400003</c:v>
                </c:pt>
                <c:pt idx="6">
                  <c:v>10747.937155000003</c:v>
                </c:pt>
                <c:pt idx="7">
                  <c:v>12653.105590599998</c:v>
                </c:pt>
                <c:pt idx="8">
                  <c:v>12289.256776399998</c:v>
                </c:pt>
                <c:pt idx="9">
                  <c:v>13909.001715000002</c:v>
                </c:pt>
                <c:pt idx="10">
                  <c:v>12916.562410199997</c:v>
                </c:pt>
                <c:pt idx="11">
                  <c:v>11052.727486600001</c:v>
                </c:pt>
              </c:numCache>
              <c:extLst/>
            </c:numRef>
          </c:val>
          <c:extLst>
            <c:ext xmlns:c16="http://schemas.microsoft.com/office/drawing/2014/chart" uri="{C3380CC4-5D6E-409C-BE32-E72D297353CC}">
              <c16:uniqueId val="{00000000-5408-4B5C-8B31-8910D6591A37}"/>
            </c:ext>
          </c:extLst>
        </c:ser>
        <c:ser>
          <c:idx val="1"/>
          <c:order val="1"/>
          <c:tx>
            <c:strRef>
              <c:f>'Turnover charts'!$C$3</c:f>
              <c:strCache>
                <c:ptCount val="1"/>
                <c:pt idx="0">
                  <c:v>NCDEX Agri Futures &amp; Options (LHS)</c:v>
                </c:pt>
              </c:strCache>
            </c:strRef>
          </c:tx>
          <c:spPr>
            <a:solidFill>
              <a:srgbClr val="00B050"/>
            </a:solidFill>
            <a:ln>
              <a:solidFill>
                <a:schemeClr val="accent3">
                  <a:lumMod val="75000"/>
                </a:schemeClr>
              </a:solidFill>
            </a:ln>
            <a:effectLst/>
          </c:spPr>
          <c:invertIfNegative val="0"/>
          <c:cat>
            <c:numRef>
              <c:f>'Turnover charts'!$A$45:$A$57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extLst/>
            </c:numRef>
          </c:cat>
          <c:val>
            <c:numRef>
              <c:f>'Turnover charts'!$C$45:$C$57</c:f>
              <c:numCache>
                <c:formatCode>#,##0</c:formatCode>
                <c:ptCount val="12"/>
                <c:pt idx="0">
                  <c:v>18922.815102500001</c:v>
                </c:pt>
                <c:pt idx="1">
                  <c:v>18054.253055000005</c:v>
                </c:pt>
                <c:pt idx="2">
                  <c:v>23929.732684999995</c:v>
                </c:pt>
                <c:pt idx="3">
                  <c:v>28599.374342499999</c:v>
                </c:pt>
                <c:pt idx="4">
                  <c:v>32560.999704999991</c:v>
                </c:pt>
                <c:pt idx="5">
                  <c:v>31297.897227500001</c:v>
                </c:pt>
                <c:pt idx="6">
                  <c:v>34267.000512499995</c:v>
                </c:pt>
                <c:pt idx="7">
                  <c:v>32707.133774999988</c:v>
                </c:pt>
                <c:pt idx="8">
                  <c:v>30761.034117499996</c:v>
                </c:pt>
                <c:pt idx="9">
                  <c:v>43894.883412500007</c:v>
                </c:pt>
                <c:pt idx="10">
                  <c:v>55219.791669999999</c:v>
                </c:pt>
                <c:pt idx="11">
                  <c:v>42907.123429999992</c:v>
                </c:pt>
              </c:numCache>
              <c:extLst/>
            </c:numRef>
          </c:val>
          <c:extLst>
            <c:ext xmlns:c16="http://schemas.microsoft.com/office/drawing/2014/chart" uri="{C3380CC4-5D6E-409C-BE32-E72D297353CC}">
              <c16:uniqueId val="{00000001-5408-4B5C-8B31-8910D6591A37}"/>
            </c:ext>
          </c:extLst>
        </c:ser>
        <c:dLbls>
          <c:showLegendKey val="0"/>
          <c:showVal val="0"/>
          <c:showCatName val="0"/>
          <c:showSerName val="0"/>
          <c:showPercent val="0"/>
          <c:showBubbleSize val="0"/>
        </c:dLbls>
        <c:gapWidth val="219"/>
        <c:axId val="429752736"/>
        <c:axId val="429753128"/>
      </c:barChart>
      <c:lineChart>
        <c:grouping val="standard"/>
        <c:varyColors val="0"/>
        <c:ser>
          <c:idx val="2"/>
          <c:order val="2"/>
          <c:tx>
            <c:strRef>
              <c:f>'Turnover charts'!$D$3</c:f>
              <c:strCache>
                <c:ptCount val="1"/>
                <c:pt idx="0">
                  <c:v>ICEX Agri Futures (RHS)</c:v>
                </c:pt>
              </c:strCache>
            </c:strRef>
          </c:tx>
          <c:spPr>
            <a:ln w="28575" cap="rnd">
              <a:solidFill>
                <a:schemeClr val="accent2">
                  <a:lumMod val="75000"/>
                </a:schemeClr>
              </a:solidFill>
              <a:round/>
            </a:ln>
            <a:effectLst/>
          </c:spPr>
          <c:marker>
            <c:symbol val="none"/>
          </c:marker>
          <c:cat>
            <c:numRef>
              <c:f>'Turnover charts'!$A$45:$A$57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extLst/>
            </c:numRef>
          </c:cat>
          <c:val>
            <c:numRef>
              <c:f>'Turnover charts'!$D$45:$D$57</c:f>
              <c:numCache>
                <c:formatCode>#,##0</c:formatCode>
                <c:ptCount val="12"/>
                <c:pt idx="0">
                  <c:v>16.16</c:v>
                </c:pt>
                <c:pt idx="1">
                  <c:v>22.481598000000002</c:v>
                </c:pt>
                <c:pt idx="2">
                  <c:v>2.2767149999999998</c:v>
                </c:pt>
                <c:pt idx="3" formatCode="#,##0.0">
                  <c:v>4.0599999999999997E-2</c:v>
                </c:pt>
                <c:pt idx="4" formatCode="#,##0.0">
                  <c:v>0</c:v>
                </c:pt>
                <c:pt idx="5" formatCode="#,##0.0">
                  <c:v>0</c:v>
                </c:pt>
                <c:pt idx="6" formatCode="#,##0.0">
                  <c:v>0.89</c:v>
                </c:pt>
                <c:pt idx="7" formatCode="#,##0.0">
                  <c:v>2.819</c:v>
                </c:pt>
                <c:pt idx="8" formatCode="#,##0.0">
                  <c:v>2.5779999999999998</c:v>
                </c:pt>
                <c:pt idx="9" formatCode="#,##0.0">
                  <c:v>3.4738000000000002</c:v>
                </c:pt>
                <c:pt idx="10" formatCode="#,##0.0">
                  <c:v>2.9133100000000001</c:v>
                </c:pt>
                <c:pt idx="11" formatCode="#,##0.0">
                  <c:v>3.66</c:v>
                </c:pt>
              </c:numCache>
              <c:extLst/>
            </c:numRef>
          </c:val>
          <c:smooth val="0"/>
          <c:extLst>
            <c:ext xmlns:c16="http://schemas.microsoft.com/office/drawing/2014/chart" uri="{C3380CC4-5D6E-409C-BE32-E72D297353CC}">
              <c16:uniqueId val="{00000002-5408-4B5C-8B31-8910D6591A37}"/>
            </c:ext>
          </c:extLst>
        </c:ser>
        <c:ser>
          <c:idx val="3"/>
          <c:order val="3"/>
          <c:tx>
            <c:strRef>
              <c:f>'Turnover charts'!$E$3</c:f>
              <c:strCache>
                <c:ptCount val="1"/>
                <c:pt idx="0">
                  <c:v>BSE Agri Futures (RHS)</c:v>
                </c:pt>
              </c:strCache>
            </c:strRef>
          </c:tx>
          <c:spPr>
            <a:ln w="28575" cap="rnd">
              <a:solidFill>
                <a:schemeClr val="tx1"/>
              </a:solidFill>
              <a:round/>
            </a:ln>
            <a:effectLst/>
          </c:spPr>
          <c:marker>
            <c:symbol val="none"/>
          </c:marker>
          <c:cat>
            <c:numRef>
              <c:f>'Turnover charts'!$A$45:$A$57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extLst/>
            </c:numRef>
          </c:cat>
          <c:val>
            <c:numRef>
              <c:f>'Turnover charts'!$E$45:$E$57</c:f>
              <c:numCache>
                <c:formatCode>#,##0</c:formatCode>
                <c:ptCount val="12"/>
                <c:pt idx="0">
                  <c:v>1565.29</c:v>
                </c:pt>
                <c:pt idx="1">
                  <c:v>323.74</c:v>
                </c:pt>
                <c:pt idx="2">
                  <c:v>153.78</c:v>
                </c:pt>
                <c:pt idx="3">
                  <c:v>181.2</c:v>
                </c:pt>
                <c:pt idx="4">
                  <c:v>236.58</c:v>
                </c:pt>
                <c:pt idx="5">
                  <c:v>165.86</c:v>
                </c:pt>
                <c:pt idx="6">
                  <c:v>110.01</c:v>
                </c:pt>
                <c:pt idx="7">
                  <c:v>86.66</c:v>
                </c:pt>
                <c:pt idx="8">
                  <c:v>83.13</c:v>
                </c:pt>
                <c:pt idx="9">
                  <c:v>115.46</c:v>
                </c:pt>
                <c:pt idx="10">
                  <c:v>174.66</c:v>
                </c:pt>
                <c:pt idx="11">
                  <c:v>184.73</c:v>
                </c:pt>
              </c:numCache>
              <c:extLst/>
            </c:numRef>
          </c:val>
          <c:smooth val="0"/>
          <c:extLst>
            <c:ext xmlns:c16="http://schemas.microsoft.com/office/drawing/2014/chart" uri="{C3380CC4-5D6E-409C-BE32-E72D297353CC}">
              <c16:uniqueId val="{00000003-5408-4B5C-8B31-8910D6591A37}"/>
            </c:ext>
          </c:extLst>
        </c:ser>
        <c:ser>
          <c:idx val="4"/>
          <c:order val="4"/>
          <c:tx>
            <c:strRef>
              <c:f>'Turnover charts'!$F$3</c:f>
              <c:strCache>
                <c:ptCount val="1"/>
                <c:pt idx="0">
                  <c:v>NSE Agri. Futures(RHS)</c:v>
                </c:pt>
              </c:strCache>
            </c:strRef>
          </c:tx>
          <c:spPr>
            <a:ln w="28575" cap="rnd">
              <a:solidFill>
                <a:srgbClr val="C00000"/>
              </a:solidFill>
              <a:round/>
            </a:ln>
            <a:effectLst/>
          </c:spPr>
          <c:marker>
            <c:symbol val="none"/>
          </c:marker>
          <c:cat>
            <c:numRef>
              <c:f>'Turnover charts'!$A$45:$A$57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extLst/>
            </c:numRef>
          </c:cat>
          <c:val>
            <c:numRef>
              <c:f>'Turnover charts'!$F$45:$F$57</c:f>
              <c:numCache>
                <c:formatCode>General</c:formatCode>
                <c:ptCount val="12"/>
                <c:pt idx="6" formatCode="#,##0">
                  <c:v>1433.9238400000006</c:v>
                </c:pt>
                <c:pt idx="7" formatCode="#,##0">
                  <c:v>826.19159999999999</c:v>
                </c:pt>
                <c:pt idx="8" formatCode="#,##0">
                  <c:v>920.27394000000004</c:v>
                </c:pt>
                <c:pt idx="9" formatCode="#,##0">
                  <c:v>1672.8383199999998</c:v>
                </c:pt>
                <c:pt idx="10" formatCode="#,##0">
                  <c:v>592.6947399999998</c:v>
                </c:pt>
                <c:pt idx="11" formatCode="#,##0">
                  <c:v>307.17788999999988</c:v>
                </c:pt>
              </c:numCache>
              <c:extLst/>
            </c:numRef>
          </c:val>
          <c:smooth val="0"/>
          <c:extLst>
            <c:ext xmlns:c16="http://schemas.microsoft.com/office/drawing/2014/chart" uri="{C3380CC4-5D6E-409C-BE32-E72D297353CC}">
              <c16:uniqueId val="{00000004-5408-4B5C-8B31-8910D6591A37}"/>
            </c:ext>
          </c:extLst>
        </c:ser>
        <c:dLbls>
          <c:showLegendKey val="0"/>
          <c:showVal val="0"/>
          <c:showCatName val="0"/>
          <c:showSerName val="0"/>
          <c:showPercent val="0"/>
          <c:showBubbleSize val="0"/>
        </c:dLbls>
        <c:marker val="1"/>
        <c:smooth val="0"/>
        <c:axId val="429758224"/>
        <c:axId val="429757832"/>
      </c:lineChart>
      <c:dateAx>
        <c:axId val="429752736"/>
        <c:scaling>
          <c:orientation val="minMax"/>
          <c:max val="44317"/>
          <c:min val="43983"/>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3128"/>
        <c:crosses val="autoZero"/>
        <c:auto val="0"/>
        <c:lblOffset val="100"/>
        <c:baseTimeUnit val="months"/>
        <c:majorUnit val="1"/>
        <c:majorTimeUnit val="months"/>
      </c:dateAx>
      <c:valAx>
        <c:axId val="429753128"/>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2736"/>
        <c:crosses val="autoZero"/>
        <c:crossBetween val="between"/>
      </c:valAx>
      <c:valAx>
        <c:axId val="429757832"/>
        <c:scaling>
          <c:orientation val="minMax"/>
          <c:max val="3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8224"/>
        <c:crosses val="max"/>
        <c:crossBetween val="between"/>
        <c:majorUnit val="1000"/>
      </c:valAx>
      <c:dateAx>
        <c:axId val="429758224"/>
        <c:scaling>
          <c:orientation val="minMax"/>
        </c:scaling>
        <c:delete val="1"/>
        <c:axPos val="b"/>
        <c:numFmt formatCode="mmm\-yy" sourceLinked="1"/>
        <c:majorTickMark val="out"/>
        <c:minorTickMark val="none"/>
        <c:tickLblPos val="nextTo"/>
        <c:crossAx val="429757832"/>
        <c:crosses val="autoZero"/>
        <c:auto val="0"/>
        <c:lblOffset val="100"/>
        <c:baseTimeUnit val="months"/>
      </c:dateAx>
      <c:spPr>
        <a:noFill/>
        <a:ln>
          <a:solidFill>
            <a:schemeClr val="tx1"/>
          </a:solidFill>
        </a:ln>
        <a:effectLst/>
      </c:spPr>
    </c:plotArea>
    <c:legend>
      <c:legendPos val="b"/>
      <c:layout>
        <c:manualLayout>
          <c:xMode val="edge"/>
          <c:yMode val="edge"/>
          <c:x val="8.0115661379648123E-2"/>
          <c:y val="0.80690803506764497"/>
          <c:w val="0.89124458425950348"/>
          <c:h val="0.172092384923955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3940947124360035"/>
          <c:h val="0.72457814568050793"/>
        </c:manualLayout>
      </c:layout>
      <c:barChart>
        <c:barDir val="col"/>
        <c:grouping val="stacked"/>
        <c:varyColors val="0"/>
        <c:ser>
          <c:idx val="0"/>
          <c:order val="0"/>
          <c:tx>
            <c:strRef>
              <c:f>'Turnover charts'!$K$3</c:f>
              <c:strCache>
                <c:ptCount val="1"/>
                <c:pt idx="0">
                  <c:v>MCX Futures (RHS)</c:v>
                </c:pt>
              </c:strCache>
            </c:strRef>
          </c:tx>
          <c:spPr>
            <a:solidFill>
              <a:srgbClr val="92D050"/>
            </a:solidFill>
            <a:ln>
              <a:solidFill>
                <a:sysClr val="windowText" lastClr="000000"/>
              </a:solidFill>
            </a:ln>
            <a:effectLst/>
          </c:spPr>
          <c:invertIfNegative val="0"/>
          <c:cat>
            <c:numRef>
              <c:f>'Turnover charts'!$J$46:$J$57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'Turnover charts'!$K$46:$K$57</c:f>
              <c:numCache>
                <c:formatCode>_(* #,##0_);_(* \(#,##0\);_(* "-"??_);_(@_)</c:formatCode>
                <c:ptCount val="12"/>
                <c:pt idx="0">
                  <c:v>623568.06468549999</c:v>
                </c:pt>
                <c:pt idx="1">
                  <c:v>846844.32924410037</c:v>
                </c:pt>
                <c:pt idx="2">
                  <c:v>904796.19616849977</c:v>
                </c:pt>
                <c:pt idx="3">
                  <c:v>745965.04735440004</c:v>
                </c:pt>
                <c:pt idx="4">
                  <c:v>691669.15749930032</c:v>
                </c:pt>
                <c:pt idx="5">
                  <c:v>722827.83065649983</c:v>
                </c:pt>
                <c:pt idx="6">
                  <c:v>649285.71545270004</c:v>
                </c:pt>
                <c:pt idx="7">
                  <c:v>631081.49217339978</c:v>
                </c:pt>
                <c:pt idx="8">
                  <c:v>732338.52416479995</c:v>
                </c:pt>
                <c:pt idx="9">
                  <c:v>602584.41504829994</c:v>
                </c:pt>
                <c:pt idx="10">
                  <c:v>525273.25289939984</c:v>
                </c:pt>
                <c:pt idx="11">
                  <c:v>657112.92129150021</c:v>
                </c:pt>
              </c:numCache>
            </c:numRef>
          </c:val>
          <c:extLst xmlns:c15="http://schemas.microsoft.com/office/drawing/2012/chart">
            <c:ext xmlns:c16="http://schemas.microsoft.com/office/drawing/2014/chart" uri="{C3380CC4-5D6E-409C-BE32-E72D297353CC}">
              <c16:uniqueId val="{00000000-3FCC-4946-819F-9280FFFAAA26}"/>
            </c:ext>
          </c:extLst>
        </c:ser>
        <c:dLbls>
          <c:showLegendKey val="0"/>
          <c:showVal val="0"/>
          <c:showCatName val="0"/>
          <c:showSerName val="0"/>
          <c:showPercent val="0"/>
          <c:showBubbleSize val="0"/>
        </c:dLbls>
        <c:gapWidth val="219"/>
        <c:overlap val="100"/>
        <c:axId val="996107487"/>
        <c:axId val="996112479"/>
        <c:extLst>
          <c:ext xmlns:c15="http://schemas.microsoft.com/office/drawing/2012/chart" uri="{02D57815-91ED-43cb-92C2-25804820EDAC}">
            <c15:filteredBarSeries>
              <c15:ser>
                <c:idx val="1"/>
                <c:order val="1"/>
                <c:tx>
                  <c:strRef>
                    <c:extLst>
                      <c:ext uri="{02D57815-91ED-43cb-92C2-25804820EDAC}">
                        <c15:formulaRef>
                          <c15:sqref>'Turnover charts'!$L$3</c15:sqref>
                        </c15:formulaRef>
                      </c:ext>
                    </c:extLst>
                    <c:strCache>
                      <c:ptCount val="1"/>
                      <c:pt idx="0">
                        <c:v>MCX Options</c:v>
                      </c:pt>
                    </c:strCache>
                  </c:strRef>
                </c:tx>
                <c:spPr>
                  <a:solidFill>
                    <a:srgbClr val="92D050"/>
                  </a:solidFill>
                  <a:ln w="12700">
                    <a:solidFill>
                      <a:schemeClr val="tx1">
                        <a:lumMod val="75000"/>
                        <a:lumOff val="25000"/>
                      </a:schemeClr>
                    </a:solidFill>
                  </a:ln>
                  <a:effectLst/>
                </c:spPr>
                <c:invertIfNegative val="0"/>
                <c:cat>
                  <c:numRef>
                    <c:extLst>
                      <c:ext uri="{02D57815-91ED-43cb-92C2-25804820EDAC}">
                        <c15:formulaRef>
                          <c15:sqref>'Turnover charts'!$J$46:$J$57</c15:sqref>
                        </c15:formulaRef>
                      </c:ext>
                    </c:extLst>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extLst>
                      <c:ext uri="{02D57815-91ED-43cb-92C2-25804820EDAC}">
                        <c15:formulaRef>
                          <c15:sqref>'Turnover charts'!$L$44:$L$55</c15:sqref>
                        </c15:formulaRef>
                      </c:ext>
                    </c:extLst>
                    <c:numCache>
                      <c:formatCode>_(* #,##0_);_(* \(#,##0\);_(* "-"??_);_(@_)</c:formatCode>
                      <c:ptCount val="12"/>
                      <c:pt idx="0">
                        <c:v>8497.2066059999997</c:v>
                      </c:pt>
                      <c:pt idx="1">
                        <c:v>16049.714781499999</c:v>
                      </c:pt>
                      <c:pt idx="2">
                        <c:v>15138.664696</c:v>
                      </c:pt>
                      <c:pt idx="3">
                        <c:v>21064.531812000001</c:v>
                      </c:pt>
                      <c:pt idx="4">
                        <c:v>28998.239947999999</c:v>
                      </c:pt>
                      <c:pt idx="5">
                        <c:v>26027.212639000005</c:v>
                      </c:pt>
                      <c:pt idx="6">
                        <c:v>9915.5255409999991</c:v>
                      </c:pt>
                      <c:pt idx="7">
                        <c:v>26564.103460999999</c:v>
                      </c:pt>
                      <c:pt idx="8">
                        <c:v>15258.518517999999</c:v>
                      </c:pt>
                      <c:pt idx="9">
                        <c:v>25959.086283000004</c:v>
                      </c:pt>
                      <c:pt idx="10">
                        <c:v>17156.310860000001</c:v>
                      </c:pt>
                      <c:pt idx="11">
                        <c:v>28949.873640999998</c:v>
                      </c:pt>
                    </c:numCache>
                  </c:numRef>
                </c:val>
                <c:extLst>
                  <c:ext xmlns:c16="http://schemas.microsoft.com/office/drawing/2014/chart" uri="{C3380CC4-5D6E-409C-BE32-E72D297353CC}">
                    <c16:uniqueId val="{00000005-3FCC-4946-819F-9280FFFAAA26}"/>
                  </c:ext>
                </c:extLst>
              </c15:ser>
            </c15:filteredBarSeries>
          </c:ext>
        </c:extLst>
      </c:barChart>
      <c:lineChart>
        <c:grouping val="standard"/>
        <c:varyColors val="0"/>
        <c:ser>
          <c:idx val="2"/>
          <c:order val="2"/>
          <c:tx>
            <c:strRef>
              <c:f>'Turnover charts'!$M$3</c:f>
              <c:strCache>
                <c:ptCount val="1"/>
                <c:pt idx="0">
                  <c:v>BSE Futures (LHS)</c:v>
                </c:pt>
              </c:strCache>
            </c:strRef>
          </c:tx>
          <c:spPr>
            <a:ln w="19050" cap="rnd">
              <a:solidFill>
                <a:srgbClr val="0070C0"/>
              </a:solidFill>
              <a:prstDash val="dash"/>
              <a:round/>
            </a:ln>
            <a:effectLst/>
          </c:spPr>
          <c:marker>
            <c:symbol val="none"/>
          </c:marker>
          <c:cat>
            <c:numRef>
              <c:f>'Turnover charts'!$J$46:$J$57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'Turnover charts'!$M$44:$M$57</c:f>
              <c:numCache>
                <c:formatCode>_(* #,##0_);_(* \(#,##0\);_(* "-"??_);_(@_)</c:formatCode>
                <c:ptCount val="14"/>
                <c:pt idx="0" formatCode="0.00">
                  <c:v>0</c:v>
                </c:pt>
                <c:pt idx="1">
                  <c:v>0</c:v>
                </c:pt>
                <c:pt idx="2">
                  <c:v>18.64</c:v>
                </c:pt>
                <c:pt idx="3" formatCode="0.00">
                  <c:v>0</c:v>
                </c:pt>
                <c:pt idx="4" formatCode="0.00">
                  <c:v>0</c:v>
                </c:pt>
                <c:pt idx="5">
                  <c:v>4.01</c:v>
                </c:pt>
                <c:pt idx="6">
                  <c:v>11.15</c:v>
                </c:pt>
                <c:pt idx="7">
                  <c:v>10.53</c:v>
                </c:pt>
                <c:pt idx="8">
                  <c:v>11.42</c:v>
                </c:pt>
                <c:pt idx="9">
                  <c:v>10.02</c:v>
                </c:pt>
                <c:pt idx="10">
                  <c:v>9.8699999999999992</c:v>
                </c:pt>
                <c:pt idx="11">
                  <c:v>11.647484</c:v>
                </c:pt>
                <c:pt idx="12">
                  <c:v>10.74</c:v>
                </c:pt>
                <c:pt idx="13">
                  <c:v>10.59</c:v>
                </c:pt>
              </c:numCache>
            </c:numRef>
          </c:val>
          <c:smooth val="0"/>
          <c:extLst>
            <c:ext xmlns:c16="http://schemas.microsoft.com/office/drawing/2014/chart" uri="{C3380CC4-5D6E-409C-BE32-E72D297353CC}">
              <c16:uniqueId val="{00000001-3FCC-4946-819F-9280FFFAAA26}"/>
            </c:ext>
          </c:extLst>
        </c:ser>
        <c:ser>
          <c:idx val="4"/>
          <c:order val="4"/>
          <c:tx>
            <c:strRef>
              <c:f>'Turnover charts'!$O$3</c:f>
              <c:strCache>
                <c:ptCount val="1"/>
                <c:pt idx="0">
                  <c:v>NSE Futures (LHS)</c:v>
                </c:pt>
              </c:strCache>
            </c:strRef>
          </c:tx>
          <c:spPr>
            <a:ln w="19050" cap="rnd">
              <a:solidFill>
                <a:sysClr val="windowText" lastClr="000000"/>
              </a:solidFill>
              <a:prstDash val="sysDash"/>
              <a:round/>
            </a:ln>
            <a:effectLst/>
          </c:spPr>
          <c:marker>
            <c:symbol val="none"/>
          </c:marker>
          <c:cat>
            <c:numRef>
              <c:f>'Turnover charts'!$J$46:$J$57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'Turnover charts'!$O$46:$O$57</c:f>
              <c:numCache>
                <c:formatCode>_(* #,##0_);_(* \(#,##0\);_(* "-"??_);_(@_)</c:formatCode>
                <c:ptCount val="12"/>
                <c:pt idx="0">
                  <c:v>209.17937999999998</c:v>
                </c:pt>
                <c:pt idx="1">
                  <c:v>45.493170000000013</c:v>
                </c:pt>
                <c:pt idx="2">
                  <c:v>92.012484999999998</c:v>
                </c:pt>
                <c:pt idx="3">
                  <c:v>65.526607000000013</c:v>
                </c:pt>
                <c:pt idx="4">
                  <c:v>14.122890999999999</c:v>
                </c:pt>
                <c:pt idx="5">
                  <c:v>18.669679000000002</c:v>
                </c:pt>
                <c:pt idx="6">
                  <c:v>15.143264000000002</c:v>
                </c:pt>
                <c:pt idx="7">
                  <c:v>11.035423000000002</c:v>
                </c:pt>
                <c:pt idx="8">
                  <c:v>14.295155499999996</c:v>
                </c:pt>
                <c:pt idx="9">
                  <c:v>11.136143500000001</c:v>
                </c:pt>
                <c:pt idx="10">
                  <c:v>6.284978999999999</c:v>
                </c:pt>
                <c:pt idx="11">
                  <c:v>6.4907739999999965</c:v>
                </c:pt>
              </c:numCache>
            </c:numRef>
          </c:val>
          <c:smooth val="0"/>
          <c:extLst>
            <c:ext xmlns:c16="http://schemas.microsoft.com/office/drawing/2014/chart" uri="{C3380CC4-5D6E-409C-BE32-E72D297353CC}">
              <c16:uniqueId val="{00000002-3FCC-4946-819F-9280FFFAAA26}"/>
            </c:ext>
          </c:extLst>
        </c:ser>
        <c:ser>
          <c:idx val="6"/>
          <c:order val="6"/>
          <c:tx>
            <c:strRef>
              <c:f>'Turnover charts'!$Q$3</c:f>
              <c:strCache>
                <c:ptCount val="1"/>
                <c:pt idx="0">
                  <c:v>NCDEX futures (LHS)</c:v>
                </c:pt>
              </c:strCache>
            </c:strRef>
          </c:tx>
          <c:spPr>
            <a:ln w="19050" cap="rnd">
              <a:solidFill>
                <a:srgbClr val="FF0000"/>
              </a:solidFill>
              <a:round/>
            </a:ln>
            <a:effectLst/>
          </c:spPr>
          <c:marker>
            <c:symbol val="none"/>
          </c:marker>
          <c:cat>
            <c:numRef>
              <c:f>'Turnover charts'!$J$46:$J$57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'Turnover charts'!$Q$46:$Q$57</c:f>
              <c:numCache>
                <c:formatCode>General</c:formatCode>
                <c:ptCount val="12"/>
                <c:pt idx="7" formatCode="_ * #,##0_ ;_ * \-#,##0_ ;_ * &quot;-&quot;??_ ;_ @_ ">
                  <c:v>24.235309999999998</c:v>
                </c:pt>
                <c:pt idx="8" formatCode="_ * #,##0_ ;_ * \-#,##0_ ;_ * &quot;-&quot;??_ ;_ @_ ">
                  <c:v>38.773069999999997</c:v>
                </c:pt>
                <c:pt idx="9" formatCode="_ * #,##0_ ;_ * \-#,##0_ ;_ * &quot;-&quot;??_ ;_ @_ ">
                  <c:v>25.14254</c:v>
                </c:pt>
                <c:pt idx="10" formatCode="_ * #,##0_ ;_ * \-#,##0_ ;_ * &quot;-&quot;??_ ;_ @_ ">
                  <c:v>11.57</c:v>
                </c:pt>
                <c:pt idx="11" formatCode="_ * #,##0_ ;_ * \-#,##0_ ;_ * &quot;-&quot;??_ ;_ @_ ">
                  <c:v>15.86</c:v>
                </c:pt>
              </c:numCache>
            </c:numRef>
          </c:val>
          <c:smooth val="0"/>
          <c:extLst>
            <c:ext xmlns:c16="http://schemas.microsoft.com/office/drawing/2014/chart" uri="{C3380CC4-5D6E-409C-BE32-E72D297353CC}">
              <c16:uniqueId val="{00000003-3FCC-4946-819F-9280FFFAAA26}"/>
            </c:ext>
          </c:extLst>
        </c:ser>
        <c:ser>
          <c:idx val="7"/>
          <c:order val="7"/>
          <c:tx>
            <c:strRef>
              <c:f>'Turnover charts'!$R$3</c:f>
              <c:strCache>
                <c:ptCount val="1"/>
                <c:pt idx="0">
                  <c:v>ICEX Futures (LHS)</c:v>
                </c:pt>
              </c:strCache>
            </c:strRef>
          </c:tx>
          <c:spPr>
            <a:ln w="28575" cap="rnd">
              <a:solidFill>
                <a:schemeClr val="accent2">
                  <a:lumMod val="60000"/>
                </a:schemeClr>
              </a:solidFill>
              <a:round/>
            </a:ln>
            <a:effectLst/>
          </c:spPr>
          <c:marker>
            <c:symbol val="none"/>
          </c:marker>
          <c:cat>
            <c:numRef>
              <c:f>'Turnover charts'!$J$46:$J$57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'Turnover charts'!$R$44:$R$57</c:f>
              <c:numCache>
                <c:formatCode>_ * #,##0_ ;_ * \-#,##0_ ;_ * "-"??_ ;_ @_ </c:formatCode>
                <c:ptCount val="14"/>
                <c:pt idx="0">
                  <c:v>723.36930000000007</c:v>
                </c:pt>
                <c:pt idx="1">
                  <c:v>489.81831228499891</c:v>
                </c:pt>
                <c:pt idx="2">
                  <c:v>83.703000000000003</c:v>
                </c:pt>
                <c:pt idx="3">
                  <c:v>4.3270248599999999</c:v>
                </c:pt>
                <c:pt idx="4" formatCode="_ * #,##0.000_ ;_ * \-#,##0.000_ ;_ * &quot;-&quot;??_ ;_ @_ ">
                  <c:v>1.6379999999999999E-3</c:v>
                </c:pt>
                <c:pt idx="5" formatCode="_ * #,##0.0_ ;_ * \-#,##0.0_ ;_ * &quot;-&quot;??_ ;_ @_ ">
                  <c:v>0.1153</c:v>
                </c:pt>
                <c:pt idx="6" formatCode="_ * #,##0.0_ ;_ * \-#,##0.0_ ;_ * &quot;-&quot;??_ ;_ @_ ">
                  <c:v>0.1066</c:v>
                </c:pt>
                <c:pt idx="7" formatCode="_(* #,##0.00_);_(* \(#,##0.00\);_(* &quot;-&quot;??_);_(@_)">
                  <c:v>2.7824999999999999E-2</c:v>
                </c:pt>
                <c:pt idx="8" formatCode="_(* #,##0_);_(* \(#,##0\);_(* &quot;-&quot;??_);_(@_)">
                  <c:v>1.8845000000000001</c:v>
                </c:pt>
                <c:pt idx="9" formatCode="_(* #,##0_);_(* \(#,##0\);_(* &quot;-&quot;??_);_(@_)">
                  <c:v>10.392370000000001</c:v>
                </c:pt>
                <c:pt idx="10" formatCode="_(* #,##0_);_(* \(#,##0\);_(* &quot;-&quot;??_);_(@_)">
                  <c:v>16.025917</c:v>
                </c:pt>
                <c:pt idx="11" formatCode="_(* #,##0_);_(* \(#,##0\);_(* &quot;-&quot;??_);_(@_)">
                  <c:v>19.011840000000003</c:v>
                </c:pt>
                <c:pt idx="12" formatCode="_(* #,##0_);_(* \(#,##0\);_(* &quot;-&quot;??_);_(@_)">
                  <c:v>16.042120000000001</c:v>
                </c:pt>
                <c:pt idx="13" formatCode="_(* #,##0.00_);_(* \(#,##0.00\);_(* &quot;-&quot;??_);_(@_)">
                  <c:v>18.87</c:v>
                </c:pt>
              </c:numCache>
            </c:numRef>
          </c:val>
          <c:smooth val="0"/>
          <c:extLst>
            <c:ext xmlns:c16="http://schemas.microsoft.com/office/drawing/2014/chart" uri="{C3380CC4-5D6E-409C-BE32-E72D297353CC}">
              <c16:uniqueId val="{00000004-3FCC-4946-819F-9280FFFAAA26}"/>
            </c:ext>
          </c:extLst>
        </c:ser>
        <c:dLbls>
          <c:showLegendKey val="0"/>
          <c:showVal val="0"/>
          <c:showCatName val="0"/>
          <c:showSerName val="0"/>
          <c:showPercent val="0"/>
          <c:showBubbleSize val="0"/>
        </c:dLbls>
        <c:marker val="1"/>
        <c:smooth val="0"/>
        <c:axId val="429753520"/>
        <c:axId val="429754696"/>
        <c:extLst>
          <c:ext xmlns:c15="http://schemas.microsoft.com/office/drawing/2012/chart" uri="{02D57815-91ED-43cb-92C2-25804820EDAC}">
            <c15:filteredLineSeries>
              <c15:ser>
                <c:idx val="3"/>
                <c:order val="3"/>
                <c:tx>
                  <c:strRef>
                    <c:extLst>
                      <c:ext uri="{02D57815-91ED-43cb-92C2-25804820EDAC}">
                        <c15:formulaRef>
                          <c15:sqref>'Turnover charts'!$N$3</c15:sqref>
                        </c15:formulaRef>
                      </c:ext>
                    </c:extLst>
                    <c:strCache>
                      <c:ptCount val="1"/>
                      <c:pt idx="0">
                        <c:v>BSE Options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extLst>
                      <c:ext uri="{02D57815-91ED-43cb-92C2-25804820EDAC}">
                        <c15:formulaRef>
                          <c15:sqref>'Turnover charts'!$J$46:$J$57</c15:sqref>
                        </c15:formulaRef>
                      </c:ext>
                    </c:extLst>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extLst>
                      <c:ext uri="{02D57815-91ED-43cb-92C2-25804820EDAC}">
                        <c15:formulaRef>
                          <c15:sqref>'Turnover charts'!$N$44:$N$55</c15:sqref>
                        </c15:formulaRef>
                      </c:ext>
                    </c:extLst>
                    <c:numCache>
                      <c:formatCode>_(* #,##0_);_(* \(#,##0\);_(* "-"??_);_(@_)</c:formatCode>
                      <c:ptCount val="12"/>
                      <c:pt idx="0">
                        <c:v>0</c:v>
                      </c:pt>
                      <c:pt idx="1">
                        <c:v>0</c:v>
                      </c:pt>
                      <c:pt idx="2" formatCode="_ * #,##0_ ;_ * \-#,##0_ ;_ * &quot;-&quot;??_ ;_ @_ ">
                        <c:v>26816.769999999997</c:v>
                      </c:pt>
                      <c:pt idx="3" formatCode="_ * #,##0_ ;_ * \-#,##0_ ;_ * &quot;-&quot;??_ ;_ @_ ">
                        <c:v>72242.989999999991</c:v>
                      </c:pt>
                      <c:pt idx="4" formatCode="_ * #,##0_ ;_ * \-#,##0_ ;_ * &quot;-&quot;??_ ;_ @_ ">
                        <c:v>71670.850000000006</c:v>
                      </c:pt>
                      <c:pt idx="5" formatCode="_ * #,##0_ ;_ * \-#,##0_ ;_ * &quot;-&quot;??_ ;_ @_ ">
                        <c:v>58331.41</c:v>
                      </c:pt>
                      <c:pt idx="6" formatCode="_ * #,##0_ ;_ * \-#,##0_ ;_ * &quot;-&quot;??_ ;_ @_ ">
                        <c:v>56137.399999999994</c:v>
                      </c:pt>
                      <c:pt idx="7" formatCode="_ * #,##0_ ;_ * \-#,##0_ ;_ * &quot;-&quot;??_ ;_ @_ ">
                        <c:v>53954.21</c:v>
                      </c:pt>
                      <c:pt idx="8" formatCode="_ * #,##0_ ;_ * \-#,##0_ ;_ * &quot;-&quot;??_ ;_ @_ ">
                        <c:v>66801.039999999994</c:v>
                      </c:pt>
                      <c:pt idx="9" formatCode="_ * #,##0_ ;_ * \-#,##0_ ;_ * &quot;-&quot;??_ ;_ @_ ">
                        <c:v>62440.93</c:v>
                      </c:pt>
                      <c:pt idx="10" formatCode="_ * #,##0_ ;_ * \-#,##0_ ;_ * &quot;-&quot;??_ ;_ @_ ">
                        <c:v>65087.26</c:v>
                      </c:pt>
                      <c:pt idx="11" formatCode="_ * #,##0_ ;_ * \-#,##0_ ;_ * &quot;-&quot;??_ ;_ @_ ">
                        <c:v>71581.36</c:v>
                      </c:pt>
                    </c:numCache>
                  </c:numRef>
                </c:val>
                <c:smooth val="0"/>
                <c:extLst>
                  <c:ext xmlns:c16="http://schemas.microsoft.com/office/drawing/2014/chart" uri="{C3380CC4-5D6E-409C-BE32-E72D297353CC}">
                    <c16:uniqueId val="{00000006-3FCC-4946-819F-9280FFFAAA2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'Turnover charts'!$P$3</c15:sqref>
                        </c15:formulaRef>
                      </c:ext>
                    </c:extLst>
                    <c:strCache>
                      <c:ptCount val="1"/>
                      <c:pt idx="0">
                        <c:v>NSE option</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'Turnover charts'!$J$46:$J$57</c15:sqref>
                        </c15:formulaRef>
                      </c:ext>
                    </c:extLst>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extLst xmlns:c15="http://schemas.microsoft.com/office/drawing/2012/chart">
                      <c:ext xmlns:c15="http://schemas.microsoft.com/office/drawing/2012/chart" uri="{02D57815-91ED-43cb-92C2-25804820EDAC}">
                        <c15:formulaRef>
                          <c15:sqref>'Turnover charts'!$P$44:$P$55</c15:sqref>
                        </c15:formulaRef>
                      </c:ext>
                    </c:extLst>
                    <c:numCache>
                      <c:formatCode>_(* #,##0_);_(* \(#,##0\);_(* "-"??_);_(@_)</c:formatCode>
                      <c:ptCount val="12"/>
                      <c:pt idx="0">
                        <c:v>0</c:v>
                      </c:pt>
                      <c:pt idx="1">
                        <c:v>0</c:v>
                      </c:pt>
                      <c:pt idx="2" formatCode="_ * #,##0_ ;_ * \-#,##0_ ;_ * &quot;-&quot;??_ ;_ @_ ">
                        <c:v>1751.8752035000002</c:v>
                      </c:pt>
                      <c:pt idx="3" formatCode="_ * #,##0_ ;_ * \-#,##0_ ;_ * &quot;-&quot;??_ ;_ @_ ">
                        <c:v>6235.7549739999995</c:v>
                      </c:pt>
                      <c:pt idx="4" formatCode="_ * #,##0_ ;_ * \-#,##0_ ;_ * &quot;-&quot;??_ ;_ @_ ">
                        <c:v>2381.9200970000002</c:v>
                      </c:pt>
                      <c:pt idx="5" formatCode="_ * #,##0_ ;_ * \-#,##0_ ;_ * &quot;-&quot;??_ ;_ @_ ">
                        <c:v>1734.4075534999997</c:v>
                      </c:pt>
                      <c:pt idx="6" formatCode="_ * #,##0_ ;_ * \-#,##0_ ;_ * &quot;-&quot;??_ ;_ @_ ">
                        <c:v>1856.5995699999994</c:v>
                      </c:pt>
                      <c:pt idx="7" formatCode="_ * #,##0_ ;_ * \-#,##0_ ;_ * &quot;-&quot;??_ ;_ @_ ">
                        <c:v>2633.3125410000002</c:v>
                      </c:pt>
                      <c:pt idx="8" formatCode="_ * #,##0_ ;_ * \-#,##0_ ;_ * &quot;-&quot;??_ ;_ @_ ">
                        <c:v>1537.8181204999996</c:v>
                      </c:pt>
                      <c:pt idx="9" formatCode="_ * #,##0_ ;_ * \-#,##0_ ;_ * &quot;-&quot;??_ ;_ @_ ">
                        <c:v>1913.7781235000002</c:v>
                      </c:pt>
                      <c:pt idx="10" formatCode="_ * #,##0_ ;_ * \-#,##0_ ;_ * &quot;-&quot;??_ ;_ @_ ">
                        <c:v>1103.8054694999996</c:v>
                      </c:pt>
                      <c:pt idx="11" formatCode="_ * #,##0_ ;_ * \-#,##0_ ;_ * &quot;-&quot;??_ ;_ @_ ">
                        <c:v>1206.0163299999995</c:v>
                      </c:pt>
                    </c:numCache>
                  </c:numRef>
                </c:val>
                <c:smooth val="0"/>
                <c:extLst xmlns:c15="http://schemas.microsoft.com/office/drawing/2012/chart">
                  <c:ext xmlns:c16="http://schemas.microsoft.com/office/drawing/2014/chart" uri="{C3380CC4-5D6E-409C-BE32-E72D297353CC}">
                    <c16:uniqueId val="{00000007-3FCC-4946-819F-9280FFFAAA26}"/>
                  </c:ext>
                </c:extLst>
              </c15:ser>
            </c15:filteredLineSeries>
          </c:ext>
        </c:extLst>
      </c:lineChart>
      <c:dateAx>
        <c:axId val="4297535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4696"/>
        <c:crosses val="autoZero"/>
        <c:auto val="1"/>
        <c:lblOffset val="100"/>
        <c:baseTimeUnit val="months"/>
      </c:dateAx>
      <c:valAx>
        <c:axId val="429754696"/>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3520"/>
        <c:crosses val="autoZero"/>
        <c:crossBetween val="between"/>
        <c:majorUnit val="100"/>
      </c:valAx>
      <c:valAx>
        <c:axId val="996112479"/>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996107487"/>
        <c:crosses val="max"/>
        <c:crossBetween val="between"/>
      </c:valAx>
      <c:dateAx>
        <c:axId val="996107487"/>
        <c:scaling>
          <c:orientation val="minMax"/>
        </c:scaling>
        <c:delete val="1"/>
        <c:axPos val="b"/>
        <c:numFmt formatCode="mmm\-yy" sourceLinked="1"/>
        <c:majorTickMark val="out"/>
        <c:minorTickMark val="none"/>
        <c:tickLblPos val="nextTo"/>
        <c:crossAx val="996112479"/>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73554005798164013"/>
          <c:h val="0.104454753121469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86840763786946662"/>
          <c:h val="0.74539161334796156"/>
        </c:manualLayout>
      </c:layout>
      <c:lineChart>
        <c:grouping val="standard"/>
        <c:varyColors val="0"/>
        <c:ser>
          <c:idx val="1"/>
          <c:order val="0"/>
          <c:tx>
            <c:strRef>
              <c:f>'Turnover charts'!$L$3</c:f>
              <c:strCache>
                <c:ptCount val="1"/>
                <c:pt idx="0">
                  <c:v>MCX Options</c:v>
                </c:pt>
              </c:strCache>
            </c:strRef>
          </c:tx>
          <c:spPr>
            <a:ln w="22225" cap="rnd">
              <a:solidFill>
                <a:srgbClr val="FF0000"/>
              </a:solidFill>
              <a:round/>
            </a:ln>
            <a:effectLst/>
          </c:spPr>
          <c:marker>
            <c:symbol val="none"/>
          </c:marker>
          <c:cat>
            <c:numRef>
              <c:f>'Turnover charts'!$J$46:$J$57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'Turnover charts'!$L$46:$L$57</c:f>
              <c:numCache>
                <c:formatCode>_(* #,##0_);_(* \(#,##0\);_(* "-"??_);_(@_)</c:formatCode>
                <c:ptCount val="12"/>
                <c:pt idx="0">
                  <c:v>15138.664696</c:v>
                </c:pt>
                <c:pt idx="1">
                  <c:v>21064.531812000001</c:v>
                </c:pt>
                <c:pt idx="2">
                  <c:v>28998.239947999999</c:v>
                </c:pt>
                <c:pt idx="3">
                  <c:v>26027.212639000005</c:v>
                </c:pt>
                <c:pt idx="4">
                  <c:v>9915.5255409999991</c:v>
                </c:pt>
                <c:pt idx="5">
                  <c:v>26564.103460999999</c:v>
                </c:pt>
                <c:pt idx="6">
                  <c:v>15258.518517999999</c:v>
                </c:pt>
                <c:pt idx="7">
                  <c:v>25959.086283000004</c:v>
                </c:pt>
                <c:pt idx="8">
                  <c:v>17156.310860000001</c:v>
                </c:pt>
                <c:pt idx="9">
                  <c:v>28949.873640999998</c:v>
                </c:pt>
                <c:pt idx="10">
                  <c:v>29746.30315299999</c:v>
                </c:pt>
                <c:pt idx="11">
                  <c:v>41737.770531000002</c:v>
                </c:pt>
              </c:numCache>
            </c:numRef>
          </c:val>
          <c:smooth val="0"/>
          <c:extLst>
            <c:ext xmlns:c16="http://schemas.microsoft.com/office/drawing/2014/chart" uri="{C3380CC4-5D6E-409C-BE32-E72D297353CC}">
              <c16:uniqueId val="{00000000-90EE-4AE8-9F1C-09364FBA9C6B}"/>
            </c:ext>
          </c:extLst>
        </c:ser>
        <c:ser>
          <c:idx val="3"/>
          <c:order val="1"/>
          <c:tx>
            <c:strRef>
              <c:f>'Turnover charts'!$N$3</c:f>
              <c:strCache>
                <c:ptCount val="1"/>
                <c:pt idx="0">
                  <c:v>BSE Options</c:v>
                </c:pt>
              </c:strCache>
            </c:strRef>
          </c:tx>
          <c:spPr>
            <a:ln w="28575" cap="rnd">
              <a:solidFill>
                <a:srgbClr val="0070C0"/>
              </a:solidFill>
              <a:round/>
            </a:ln>
            <a:effectLst/>
          </c:spPr>
          <c:marker>
            <c:symbol val="none"/>
          </c:marker>
          <c:cat>
            <c:numRef>
              <c:f>'Turnover charts'!$J$46:$J$57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'Turnover charts'!$N$46:$N$57</c:f>
              <c:numCache>
                <c:formatCode>_ * #,##0_ ;_ * \-#,##0_ ;_ * "-"??_ ;_ @_ </c:formatCode>
                <c:ptCount val="12"/>
                <c:pt idx="0">
                  <c:v>26816.769999999997</c:v>
                </c:pt>
                <c:pt idx="1">
                  <c:v>72242.989999999991</c:v>
                </c:pt>
                <c:pt idx="2">
                  <c:v>71670.850000000006</c:v>
                </c:pt>
                <c:pt idx="3">
                  <c:v>58331.41</c:v>
                </c:pt>
                <c:pt idx="4">
                  <c:v>56137.399999999994</c:v>
                </c:pt>
                <c:pt idx="5">
                  <c:v>53954.21</c:v>
                </c:pt>
                <c:pt idx="6">
                  <c:v>66801.039999999994</c:v>
                </c:pt>
                <c:pt idx="7">
                  <c:v>62440.93</c:v>
                </c:pt>
                <c:pt idx="8">
                  <c:v>65087.26</c:v>
                </c:pt>
                <c:pt idx="9">
                  <c:v>71581.36</c:v>
                </c:pt>
                <c:pt idx="10">
                  <c:v>66089.42</c:v>
                </c:pt>
                <c:pt idx="11">
                  <c:v>67971.709999999992</c:v>
                </c:pt>
              </c:numCache>
            </c:numRef>
          </c:val>
          <c:smooth val="0"/>
          <c:extLst>
            <c:ext xmlns:c16="http://schemas.microsoft.com/office/drawing/2014/chart" uri="{C3380CC4-5D6E-409C-BE32-E72D297353CC}">
              <c16:uniqueId val="{00000001-90EE-4AE8-9F1C-09364FBA9C6B}"/>
            </c:ext>
          </c:extLst>
        </c:ser>
        <c:ser>
          <c:idx val="5"/>
          <c:order val="2"/>
          <c:tx>
            <c:strRef>
              <c:f>'Turnover charts'!$P$3</c:f>
              <c:strCache>
                <c:ptCount val="1"/>
                <c:pt idx="0">
                  <c:v>NSE option</c:v>
                </c:pt>
              </c:strCache>
            </c:strRef>
          </c:tx>
          <c:spPr>
            <a:ln w="28575" cap="rnd">
              <a:solidFill>
                <a:schemeClr val="accent6"/>
              </a:solidFill>
              <a:round/>
            </a:ln>
            <a:effectLst/>
          </c:spPr>
          <c:marker>
            <c:symbol val="none"/>
          </c:marker>
          <c:cat>
            <c:numRef>
              <c:f>'Turnover charts'!$J$46:$J$57</c:f>
              <c:numCache>
                <c:formatCode>mmm\-yy</c:formatCode>
                <c:ptCount val="12"/>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numCache>
            </c:numRef>
          </c:cat>
          <c:val>
            <c:numRef>
              <c:f>'Turnover charts'!$P$46:$P$57</c:f>
              <c:numCache>
                <c:formatCode>_ * #,##0_ ;_ * \-#,##0_ ;_ * "-"??_ ;_ @_ </c:formatCode>
                <c:ptCount val="12"/>
                <c:pt idx="0">
                  <c:v>1751.8752035000002</c:v>
                </c:pt>
                <c:pt idx="1">
                  <c:v>6235.7549739999995</c:v>
                </c:pt>
                <c:pt idx="2">
                  <c:v>2381.9200970000002</c:v>
                </c:pt>
                <c:pt idx="3">
                  <c:v>1734.4075534999997</c:v>
                </c:pt>
                <c:pt idx="4">
                  <c:v>1856.5995699999994</c:v>
                </c:pt>
                <c:pt idx="5">
                  <c:v>2633.3125410000002</c:v>
                </c:pt>
                <c:pt idx="6">
                  <c:v>1537.8181204999996</c:v>
                </c:pt>
                <c:pt idx="7">
                  <c:v>1913.7781235000002</c:v>
                </c:pt>
                <c:pt idx="8">
                  <c:v>1103.8054694999996</c:v>
                </c:pt>
                <c:pt idx="9">
                  <c:v>1206.0163299999995</c:v>
                </c:pt>
                <c:pt idx="10">
                  <c:v>950.66633899999977</c:v>
                </c:pt>
                <c:pt idx="11">
                  <c:v>846.21426750000001</c:v>
                </c:pt>
              </c:numCache>
            </c:numRef>
          </c:val>
          <c:smooth val="0"/>
          <c:extLst>
            <c:ext xmlns:c16="http://schemas.microsoft.com/office/drawing/2014/chart" uri="{C3380CC4-5D6E-409C-BE32-E72D297353CC}">
              <c16:uniqueId val="{00000002-90EE-4AE8-9F1C-09364FBA9C6B}"/>
            </c:ext>
          </c:extLst>
        </c:ser>
        <c:dLbls>
          <c:showLegendKey val="0"/>
          <c:showVal val="0"/>
          <c:showCatName val="0"/>
          <c:showSerName val="0"/>
          <c:showPercent val="0"/>
          <c:showBubbleSize val="0"/>
        </c:dLbls>
        <c:smooth val="0"/>
        <c:axId val="429753520"/>
        <c:axId val="429754696"/>
      </c:lineChart>
      <c:dateAx>
        <c:axId val="429753520"/>
        <c:scaling>
          <c:orientation val="minMax"/>
          <c:min val="43983"/>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4696"/>
        <c:crosses val="autoZero"/>
        <c:auto val="1"/>
        <c:lblOffset val="100"/>
        <c:baseTimeUnit val="months"/>
      </c:dateAx>
      <c:valAx>
        <c:axId val="429754696"/>
        <c:scaling>
          <c:orientation val="minMax"/>
          <c:max val="8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baseline="0"/>
                  <a:t> </a:t>
                </a:r>
                <a:r>
                  <a:rPr lang="en-IN"/>
                  <a:t> crore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3520"/>
        <c:crosses val="autoZero"/>
        <c:crossBetween val="between"/>
        <c:majorUnit val="10000"/>
        <c:minorUnit val="5000"/>
      </c:val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'F2&amp;F3'!$D$4</c:f>
              <c:strCache>
                <c:ptCount val="1"/>
                <c:pt idx="0">
                  <c:v>ADT at NSE (LHS)</c:v>
                </c:pt>
              </c:strCache>
            </c:strRef>
          </c:tx>
          <c:spPr>
            <a:solidFill>
              <a:srgbClr val="00B050"/>
            </a:solidFill>
            <a:ln>
              <a:noFill/>
            </a:ln>
            <a:effectLst/>
          </c:spPr>
          <c:invertIfNegative val="0"/>
          <c:cat>
            <c:numRef>
              <c:f>'F2&amp;F3'!$A$6:$A$17</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'F2&amp;F3'!$D$6:$D$17</c:f>
              <c:numCache>
                <c:formatCode>[&gt;=10000000]#\,##\,##\,##0;[&gt;=100000]#\,##\,##0;##,##0</c:formatCode>
                <c:ptCount val="12"/>
                <c:pt idx="0" formatCode="#,##0">
                  <c:v>61394.58</c:v>
                </c:pt>
                <c:pt idx="1">
                  <c:v>58631.347159999998</c:v>
                </c:pt>
                <c:pt idx="2">
                  <c:v>61074.12</c:v>
                </c:pt>
                <c:pt idx="3">
                  <c:v>55605.851524328958</c:v>
                </c:pt>
                <c:pt idx="4">
                  <c:v>52327.798311617102</c:v>
                </c:pt>
                <c:pt idx="5">
                  <c:v>66863.595756470837</c:v>
                </c:pt>
                <c:pt idx="6">
                  <c:v>62479.615040464567</c:v>
                </c:pt>
                <c:pt idx="7">
                  <c:v>72472.244728850172</c:v>
                </c:pt>
                <c:pt idx="8" formatCode="#,##0;\-#,##0;0">
                  <c:v>81373.180989999993</c:v>
                </c:pt>
                <c:pt idx="9" formatCode="#,##0;\-#,##0;0">
                  <c:v>66616.515109999993</c:v>
                </c:pt>
                <c:pt idx="10" formatCode="#,##0;\-#,##0;0">
                  <c:v>70036.149999999994</c:v>
                </c:pt>
                <c:pt idx="11" formatCode="#,##0;\-#,##0;0">
                  <c:v>78395.767018697938</c:v>
                </c:pt>
              </c:numCache>
            </c:numRef>
          </c:val>
          <c:extLst>
            <c:ext xmlns:c16="http://schemas.microsoft.com/office/drawing/2014/chart" uri="{C3380CC4-5D6E-409C-BE32-E72D297353CC}">
              <c16:uniqueId val="{00000000-444B-4F92-91BE-157FF1646556}"/>
            </c:ext>
          </c:extLst>
        </c:ser>
        <c:dLbls>
          <c:showLegendKey val="0"/>
          <c:showVal val="0"/>
          <c:showCatName val="0"/>
          <c:showSerName val="0"/>
          <c:showPercent val="0"/>
          <c:showBubbleSize val="0"/>
        </c:dLbls>
        <c:gapWidth val="219"/>
        <c:overlap val="-27"/>
        <c:axId val="312231096"/>
        <c:axId val="312235408"/>
      </c:barChart>
      <c:lineChart>
        <c:grouping val="standard"/>
        <c:varyColors val="0"/>
        <c:ser>
          <c:idx val="3"/>
          <c:order val="1"/>
          <c:tx>
            <c:strRef>
              <c:f>'F2&amp;F3'!$E$4</c:f>
              <c:strCache>
                <c:ptCount val="1"/>
                <c:pt idx="0">
                  <c:v>ADV of Nifty 50 (RHS)</c:v>
                </c:pt>
              </c:strCache>
            </c:strRef>
          </c:tx>
          <c:spPr>
            <a:ln w="28575" cap="rnd">
              <a:solidFill>
                <a:srgbClr val="FF0000"/>
              </a:solidFill>
              <a:round/>
            </a:ln>
            <a:effectLst/>
          </c:spPr>
          <c:marker>
            <c:symbol val="none"/>
          </c:marker>
          <c:cat>
            <c:numRef>
              <c:f>'F2&amp;F3'!$A$6:$A$17</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'F2&amp;F3'!$E$6:$E$17</c:f>
              <c:numCache>
                <c:formatCode>#,##0</c:formatCode>
                <c:ptCount val="12"/>
                <c:pt idx="0">
                  <c:v>10116.450000000001</c:v>
                </c:pt>
                <c:pt idx="1">
                  <c:v>10897.695652173914</c:v>
                </c:pt>
                <c:pt idx="2" formatCode="[&gt;=10000000]#\,##\,##\,##0;[&gt;=100000]#\,##\,##0;##,##0">
                  <c:v>11318.57</c:v>
                </c:pt>
                <c:pt idx="3" formatCode="[&gt;=10000000]#\,##\,##\,##0;[&gt;=100000]#\,##\,##0;##,##0">
                  <c:v>11336.702272727271</c:v>
                </c:pt>
                <c:pt idx="4" formatCode="[&gt;=10000000]#\,##\,##\,##0;[&gt;=100000]#\,##\,##0;##,##0">
                  <c:v>11789.709523809524</c:v>
                </c:pt>
                <c:pt idx="5" formatCode="[&gt;=10000000]#\,##\,##\,##0;[&gt;=100000]#\,##\,##0;##,##0">
                  <c:v>12602.3225</c:v>
                </c:pt>
                <c:pt idx="6" formatCode="[&gt;=10000000]#\,##\,##\,##0;[&gt;=100000]#\,##\,##0;##,##0">
                  <c:v>13550.44090909091</c:v>
                </c:pt>
                <c:pt idx="7" formatCode="[&gt;=10000000]#\,##\,##\,##0;[&gt;=100000]#\,##\,##0;##,##0">
                  <c:v>14284.602499999999</c:v>
                </c:pt>
                <c:pt idx="8" formatCode="[&gt;=10000000]#\,##\,##\,##0;[&gt;=100000]#\,##\,##0;##,##0">
                  <c:v>14956.842499999999</c:v>
                </c:pt>
                <c:pt idx="9" formatCode="[&gt;=10000000]#\,##\,##\,##0;[&gt;=100000]#\,##\,##0;##,##0">
                  <c:v>14835.099999999999</c:v>
                </c:pt>
                <c:pt idx="10" formatCode="[&gt;=10000000]#\,##\,##\,##0;[&gt;=100000]#\,##\,##0;##,##0">
                  <c:v>14613.852631578948</c:v>
                </c:pt>
                <c:pt idx="11" formatCode="[&gt;=10000000]#\,##\,##\,##0;[&gt;=100000]#\,##\,##0;##,##0">
                  <c:v>15121.611538461539</c:v>
                </c:pt>
              </c:numCache>
            </c:numRef>
          </c:val>
          <c:smooth val="0"/>
          <c:extLst>
            <c:ext xmlns:c16="http://schemas.microsoft.com/office/drawing/2014/chart" uri="{C3380CC4-5D6E-409C-BE32-E72D297353CC}">
              <c16:uniqueId val="{00000001-444B-4F92-91BE-157FF1646556}"/>
            </c:ext>
          </c:extLst>
        </c:ser>
        <c:dLbls>
          <c:showLegendKey val="0"/>
          <c:showVal val="0"/>
          <c:showCatName val="0"/>
          <c:showSerName val="0"/>
          <c:showPercent val="0"/>
          <c:showBubbleSize val="0"/>
        </c:dLbls>
        <c:marker val="1"/>
        <c:smooth val="0"/>
        <c:axId val="312234232"/>
        <c:axId val="312232272"/>
      </c:lineChart>
      <c:dateAx>
        <c:axId val="312231096"/>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35408"/>
        <c:crosses val="autoZero"/>
        <c:auto val="1"/>
        <c:lblOffset val="100"/>
        <c:baseTimeUnit val="months"/>
      </c:dateAx>
      <c:valAx>
        <c:axId val="312235408"/>
        <c:scaling>
          <c:orientation val="minMax"/>
          <c:min val="35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31096"/>
        <c:crosses val="autoZero"/>
        <c:crossBetween val="between"/>
        <c:majorUnit val="5000.01"/>
      </c:valAx>
      <c:valAx>
        <c:axId val="312232272"/>
        <c:scaling>
          <c:orientation val="minMax"/>
          <c:min val="8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34232"/>
        <c:crosses val="max"/>
        <c:crossBetween val="between"/>
      </c:valAx>
      <c:dateAx>
        <c:axId val="312234232"/>
        <c:scaling>
          <c:orientation val="minMax"/>
        </c:scaling>
        <c:delete val="1"/>
        <c:axPos val="b"/>
        <c:numFmt formatCode="[$-409]mmm\-yy" sourceLinked="1"/>
        <c:majorTickMark val="out"/>
        <c:minorTickMark val="none"/>
        <c:tickLblPos val="nextTo"/>
        <c:crossAx val="312232272"/>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'F2&amp;F3'!$B$4</c:f>
              <c:strCache>
                <c:ptCount val="1"/>
                <c:pt idx="0">
                  <c:v>ADT at BSE (LHS)</c:v>
                </c:pt>
              </c:strCache>
            </c:strRef>
          </c:tx>
          <c:spPr>
            <a:solidFill>
              <a:srgbClr val="00B050"/>
            </a:solidFill>
            <a:ln>
              <a:noFill/>
            </a:ln>
            <a:effectLst/>
          </c:spPr>
          <c:invertIfNegative val="0"/>
          <c:cat>
            <c:numRef>
              <c:f>'F2&amp;F3'!$A$6:$A$17</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'F2&amp;F3'!$B$6:$B$17</c:f>
              <c:numCache>
                <c:formatCode>[&gt;=10000000]#\,##\,##\,##0;[&gt;=100000]#\,##\,##0;##,##0</c:formatCode>
                <c:ptCount val="12"/>
                <c:pt idx="0">
                  <c:v>5008.76</c:v>
                </c:pt>
                <c:pt idx="1">
                  <c:v>3482.2930434782606</c:v>
                </c:pt>
                <c:pt idx="2">
                  <c:v>4432.38</c:v>
                </c:pt>
                <c:pt idx="3">
                  <c:v>3182.9668181818183</c:v>
                </c:pt>
                <c:pt idx="4">
                  <c:v>2755.5385714285712</c:v>
                </c:pt>
                <c:pt idx="5">
                  <c:v>3533.7944999999991</c:v>
                </c:pt>
                <c:pt idx="6">
                  <c:v>4518.8545454545456</c:v>
                </c:pt>
                <c:pt idx="7">
                  <c:v>5203.16</c:v>
                </c:pt>
                <c:pt idx="8" formatCode="#,##0;\-#,##0;0">
                  <c:v>7247.7254999999996</c:v>
                </c:pt>
                <c:pt idx="9" formatCode="#,##0;\-#,##0;0">
                  <c:v>5010.8952380950004</c:v>
                </c:pt>
                <c:pt idx="10" formatCode="#,##0;\-#,##0;0">
                  <c:v>4362.0763157900001</c:v>
                </c:pt>
                <c:pt idx="11" formatCode="#,##0;\-#,##0;0">
                  <c:v>5625.0295000000006</c:v>
                </c:pt>
              </c:numCache>
            </c:numRef>
          </c:val>
          <c:extLst>
            <c:ext xmlns:c16="http://schemas.microsoft.com/office/drawing/2014/chart" uri="{C3380CC4-5D6E-409C-BE32-E72D297353CC}">
              <c16:uniqueId val="{00000000-84C3-44A9-8FF6-EA6699A1489F}"/>
            </c:ext>
          </c:extLst>
        </c:ser>
        <c:dLbls>
          <c:showLegendKey val="0"/>
          <c:showVal val="0"/>
          <c:showCatName val="0"/>
          <c:showSerName val="0"/>
          <c:showPercent val="0"/>
          <c:showBubbleSize val="0"/>
        </c:dLbls>
        <c:gapWidth val="219"/>
        <c:overlap val="-27"/>
        <c:axId val="312231488"/>
        <c:axId val="312233056"/>
      </c:barChart>
      <c:lineChart>
        <c:grouping val="standard"/>
        <c:varyColors val="0"/>
        <c:ser>
          <c:idx val="1"/>
          <c:order val="1"/>
          <c:tx>
            <c:strRef>
              <c:f>'F2&amp;F3'!$C$4</c:f>
              <c:strCache>
                <c:ptCount val="1"/>
                <c:pt idx="0">
                  <c:v>ADV of Sensex (RHS)</c:v>
                </c:pt>
              </c:strCache>
            </c:strRef>
          </c:tx>
          <c:spPr>
            <a:ln w="28575" cap="rnd">
              <a:solidFill>
                <a:srgbClr val="FF0000"/>
              </a:solidFill>
              <a:round/>
            </a:ln>
            <a:effectLst/>
          </c:spPr>
          <c:marker>
            <c:symbol val="none"/>
          </c:marker>
          <c:cat>
            <c:numRef>
              <c:f>'F2&amp;F3'!$A$6:$A$17</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'F2&amp;F3'!$C$6:$C$17</c:f>
              <c:numCache>
                <c:formatCode>0</c:formatCode>
                <c:ptCount val="12"/>
                <c:pt idx="0" formatCode="[&gt;=10000000]#\,##\,##\,##0;[&gt;=100000]#\,##\,##0;##,##0">
                  <c:v>34263</c:v>
                </c:pt>
                <c:pt idx="1">
                  <c:v>37030.641739130428</c:v>
                </c:pt>
                <c:pt idx="2" formatCode="[&gt;=10000000]#\,##\,##\,##0;[&gt;=100000]#\,##\,##0;##,##0">
                  <c:v>38347</c:v>
                </c:pt>
                <c:pt idx="3" formatCode="[&gt;=10000000]#\,##\,##\,##0;[&gt;=100000]#\,##\,##0;##,##0">
                  <c:v>38378.977272727272</c:v>
                </c:pt>
                <c:pt idx="4" formatCode="[&gt;=10000000]#\,##\,##\,##0;[&gt;=100000]#\,##\,##0;##,##0">
                  <c:v>40115.386666666658</c:v>
                </c:pt>
                <c:pt idx="5" formatCode="[&gt;=10000000]#\,##\,##\,##0;[&gt;=100000]#\,##\,##0;##,##0">
                  <c:v>43011.3845</c:v>
                </c:pt>
                <c:pt idx="6" formatCode="[&gt;=10000000]#\,##\,##\,##0;[&gt;=100000]#\,##\,##0;##,##0">
                  <c:v>46211.837272727265</c:v>
                </c:pt>
                <c:pt idx="7" formatCode="[&gt;=10000000]#\,##\,##\,##0;[&gt;=100000]#\,##\,##0;##,##0">
                  <c:v>48580.33</c:v>
                </c:pt>
                <c:pt idx="8" formatCode="#,##0;\-#,##0;0">
                  <c:v>50782.818000000007</c:v>
                </c:pt>
                <c:pt idx="9" formatCode="#,##0;\-#,##0;0">
                  <c:v>50782.818000000007</c:v>
                </c:pt>
                <c:pt idx="10" formatCode="#,##0;\-#,##0;0">
                  <c:v>48877.900526315789</c:v>
                </c:pt>
                <c:pt idx="11" formatCode="#,##0;\-#,##0;0">
                  <c:v>49822.895499999999</c:v>
                </c:pt>
              </c:numCache>
            </c:numRef>
          </c:val>
          <c:smooth val="0"/>
          <c:extLst>
            <c:ext xmlns:c16="http://schemas.microsoft.com/office/drawing/2014/chart" uri="{C3380CC4-5D6E-409C-BE32-E72D297353CC}">
              <c16:uniqueId val="{00000001-84C3-44A9-8FF6-EA6699A1489F}"/>
            </c:ext>
          </c:extLst>
        </c:ser>
        <c:dLbls>
          <c:showLegendKey val="0"/>
          <c:showVal val="0"/>
          <c:showCatName val="0"/>
          <c:showSerName val="0"/>
          <c:showPercent val="0"/>
          <c:showBubbleSize val="0"/>
        </c:dLbls>
        <c:marker val="1"/>
        <c:smooth val="0"/>
        <c:axId val="312233448"/>
        <c:axId val="312229528"/>
      </c:lineChart>
      <c:dateAx>
        <c:axId val="31223148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33056"/>
        <c:crosses val="autoZero"/>
        <c:auto val="1"/>
        <c:lblOffset val="100"/>
        <c:baseTimeUnit val="months"/>
      </c:dateAx>
      <c:valAx>
        <c:axId val="312233056"/>
        <c:scaling>
          <c:orientation val="minMax"/>
          <c:min val="2000"/>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31488"/>
        <c:crosses val="autoZero"/>
        <c:crossBetween val="between"/>
      </c:valAx>
      <c:valAx>
        <c:axId val="312229528"/>
        <c:scaling>
          <c:orientation val="minMax"/>
          <c:min val="30000"/>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33448"/>
        <c:crosses val="max"/>
        <c:crossBetween val="between"/>
        <c:majorUnit val="5000"/>
      </c:valAx>
      <c:dateAx>
        <c:axId val="312233448"/>
        <c:scaling>
          <c:orientation val="minMax"/>
        </c:scaling>
        <c:delete val="1"/>
        <c:axPos val="b"/>
        <c:numFmt formatCode="[$-409]mmm\-yy" sourceLinked="1"/>
        <c:majorTickMark val="out"/>
        <c:minorTickMark val="none"/>
        <c:tickLblPos val="nextTo"/>
        <c:crossAx val="312229528"/>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'F4&amp;5 '!$E$4</c:f>
              <c:strCache>
                <c:ptCount val="1"/>
                <c:pt idx="0">
                  <c:v>Return (LHS)</c:v>
                </c:pt>
              </c:strCache>
            </c:strRef>
          </c:tx>
          <c:spPr>
            <a:solidFill>
              <a:srgbClr val="00B050"/>
            </a:solidFill>
            <a:ln>
              <a:noFill/>
            </a:ln>
            <a:effectLst/>
          </c:spPr>
          <c:invertIfNegative val="0"/>
          <c:cat>
            <c:strRef>
              <c:f>'F4&amp;5 '!$D$5:$D$14</c:f>
              <c:strCache>
                <c:ptCount val="10"/>
                <c:pt idx="0">
                  <c:v>BSEPOWER</c:v>
                </c:pt>
                <c:pt idx="1">
                  <c:v>BSEPSU</c:v>
                </c:pt>
                <c:pt idx="2">
                  <c:v>BSECG</c:v>
                </c:pt>
                <c:pt idx="3">
                  <c:v>BSEOIL</c:v>
                </c:pt>
                <c:pt idx="4">
                  <c:v>BSEAUTO</c:v>
                </c:pt>
                <c:pt idx="5">
                  <c:v>BSEREAL</c:v>
                </c:pt>
                <c:pt idx="6">
                  <c:v>BSEBANK</c:v>
                </c:pt>
                <c:pt idx="7">
                  <c:v>BSEMET</c:v>
                </c:pt>
                <c:pt idx="8">
                  <c:v>BSETECK</c:v>
                </c:pt>
                <c:pt idx="9">
                  <c:v>BSECD</c:v>
                </c:pt>
              </c:strCache>
            </c:strRef>
          </c:cat>
          <c:val>
            <c:numRef>
              <c:f>'F4&amp;5 '!$E$5:$E$14</c:f>
              <c:numCache>
                <c:formatCode>0.0</c:formatCode>
                <c:ptCount val="10"/>
                <c:pt idx="0">
                  <c:v>13.513491727626302</c:v>
                </c:pt>
                <c:pt idx="1">
                  <c:v>12.990148017422198</c:v>
                </c:pt>
                <c:pt idx="2">
                  <c:v>11.089511454949985</c:v>
                </c:pt>
                <c:pt idx="3">
                  <c:v>9.8470359463525661</c:v>
                </c:pt>
                <c:pt idx="4">
                  <c:v>8.6456400742114923</c:v>
                </c:pt>
                <c:pt idx="5">
                  <c:v>8.5815574102585011</c:v>
                </c:pt>
                <c:pt idx="6">
                  <c:v>8.1482708604242227</c:v>
                </c:pt>
                <c:pt idx="7">
                  <c:v>5.9239977600190397</c:v>
                </c:pt>
                <c:pt idx="8">
                  <c:v>3.886847955753181</c:v>
                </c:pt>
                <c:pt idx="9">
                  <c:v>3.2939071349219917</c:v>
                </c:pt>
              </c:numCache>
            </c:numRef>
          </c:val>
          <c:extLst>
            <c:ext xmlns:c16="http://schemas.microsoft.com/office/drawing/2014/chart" uri="{C3380CC4-5D6E-409C-BE32-E72D297353CC}">
              <c16:uniqueId val="{00000000-0901-4AE0-BA26-DEA097482222}"/>
            </c:ext>
          </c:extLst>
        </c:ser>
        <c:dLbls>
          <c:showLegendKey val="0"/>
          <c:showVal val="0"/>
          <c:showCatName val="0"/>
          <c:showSerName val="0"/>
          <c:showPercent val="0"/>
          <c:showBubbleSize val="0"/>
        </c:dLbls>
        <c:gapWidth val="219"/>
        <c:overlap val="-27"/>
        <c:axId val="592533568"/>
        <c:axId val="592535528"/>
      </c:barChart>
      <c:lineChart>
        <c:grouping val="standard"/>
        <c:varyColors val="0"/>
        <c:ser>
          <c:idx val="1"/>
          <c:order val="1"/>
          <c:tx>
            <c:strRef>
              <c:f>'F4&amp;5 '!$F$4</c:f>
              <c:strCache>
                <c:ptCount val="1"/>
                <c:pt idx="0">
                  <c:v>Volatility (RHS)</c:v>
                </c:pt>
              </c:strCache>
            </c:strRef>
          </c:tx>
          <c:spPr>
            <a:ln w="28575" cap="rnd">
              <a:solidFill>
                <a:srgbClr val="FF0000"/>
              </a:solidFill>
              <a:round/>
            </a:ln>
            <a:effectLst/>
          </c:spPr>
          <c:marker>
            <c:symbol val="none"/>
          </c:marker>
          <c:cat>
            <c:strRef>
              <c:f>'F4&amp;5 '!$D$5:$D$14</c:f>
              <c:strCache>
                <c:ptCount val="10"/>
                <c:pt idx="0">
                  <c:v>BSEPOWER</c:v>
                </c:pt>
                <c:pt idx="1">
                  <c:v>BSEPSU</c:v>
                </c:pt>
                <c:pt idx="2">
                  <c:v>BSECG</c:v>
                </c:pt>
                <c:pt idx="3">
                  <c:v>BSEOIL</c:v>
                </c:pt>
                <c:pt idx="4">
                  <c:v>BSEAUTO</c:v>
                </c:pt>
                <c:pt idx="5">
                  <c:v>BSEREAL</c:v>
                </c:pt>
                <c:pt idx="6">
                  <c:v>BSEBANK</c:v>
                </c:pt>
                <c:pt idx="7">
                  <c:v>BSEMET</c:v>
                </c:pt>
                <c:pt idx="8">
                  <c:v>BSETECK</c:v>
                </c:pt>
                <c:pt idx="9">
                  <c:v>BSECD</c:v>
                </c:pt>
              </c:strCache>
            </c:strRef>
          </c:cat>
          <c:val>
            <c:numRef>
              <c:f>'F4&amp;5 '!$F$5:$F$14</c:f>
              <c:numCache>
                <c:formatCode>0.0</c:formatCode>
                <c:ptCount val="10"/>
                <c:pt idx="0">
                  <c:v>1.214051176659398</c:v>
                </c:pt>
                <c:pt idx="1">
                  <c:v>1.1847721952915424</c:v>
                </c:pt>
                <c:pt idx="2">
                  <c:v>0.77042001193686627</c:v>
                </c:pt>
                <c:pt idx="3">
                  <c:v>1.1163331373074268</c:v>
                </c:pt>
                <c:pt idx="4">
                  <c:v>1.0911354037924619</c:v>
                </c:pt>
                <c:pt idx="5">
                  <c:v>1.3325655060074242</c:v>
                </c:pt>
                <c:pt idx="6">
                  <c:v>1.4373844712303172</c:v>
                </c:pt>
                <c:pt idx="7">
                  <c:v>2.3117649660923378</c:v>
                </c:pt>
                <c:pt idx="8">
                  <c:v>0.70040557380736923</c:v>
                </c:pt>
                <c:pt idx="9">
                  <c:v>0.9273642203601089</c:v>
                </c:pt>
              </c:numCache>
            </c:numRef>
          </c:val>
          <c:smooth val="0"/>
          <c:extLst>
            <c:ext xmlns:c16="http://schemas.microsoft.com/office/drawing/2014/chart" uri="{C3380CC4-5D6E-409C-BE32-E72D297353CC}">
              <c16:uniqueId val="{00000001-0901-4AE0-BA26-DEA097482222}"/>
            </c:ext>
          </c:extLst>
        </c:ser>
        <c:dLbls>
          <c:showLegendKey val="0"/>
          <c:showVal val="0"/>
          <c:showCatName val="0"/>
          <c:showSerName val="0"/>
          <c:showPercent val="0"/>
          <c:showBubbleSize val="0"/>
        </c:dLbls>
        <c:marker val="1"/>
        <c:smooth val="0"/>
        <c:axId val="592533960"/>
        <c:axId val="592535920"/>
      </c:lineChart>
      <c:catAx>
        <c:axId val="592533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35528"/>
        <c:crosses val="autoZero"/>
        <c:auto val="1"/>
        <c:lblAlgn val="ctr"/>
        <c:lblOffset val="100"/>
        <c:noMultiLvlLbl val="0"/>
      </c:catAx>
      <c:valAx>
        <c:axId val="592535528"/>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33568"/>
        <c:crosses val="autoZero"/>
        <c:crossBetween val="between"/>
      </c:valAx>
      <c:valAx>
        <c:axId val="592535920"/>
        <c:scaling>
          <c:orientation val="minMax"/>
          <c:min val="0.60000000000000009"/>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33960"/>
        <c:crosses val="max"/>
        <c:crossBetween val="between"/>
        <c:majorUnit val="0.5"/>
      </c:valAx>
      <c:catAx>
        <c:axId val="592533960"/>
        <c:scaling>
          <c:orientation val="minMax"/>
        </c:scaling>
        <c:delete val="1"/>
        <c:axPos val="b"/>
        <c:numFmt formatCode="General" sourceLinked="1"/>
        <c:majorTickMark val="out"/>
        <c:minorTickMark val="none"/>
        <c:tickLblPos val="nextTo"/>
        <c:crossAx val="59253592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'F4&amp;5 '!$B$4</c:f>
              <c:strCache>
                <c:ptCount val="1"/>
                <c:pt idx="0">
                  <c:v>Return (LHS)</c:v>
                </c:pt>
              </c:strCache>
            </c:strRef>
          </c:tx>
          <c:spPr>
            <a:solidFill>
              <a:srgbClr val="00B050"/>
            </a:solidFill>
            <a:ln>
              <a:noFill/>
            </a:ln>
            <a:effectLst/>
          </c:spPr>
          <c:invertIfNegative val="0"/>
          <c:cat>
            <c:strRef>
              <c:f>'F4&amp;5 '!$A$5:$A$14</c:f>
              <c:strCache>
                <c:ptCount val="10"/>
                <c:pt idx="0">
                  <c:v>NIFTYPSU</c:v>
                </c:pt>
                <c:pt idx="1">
                  <c:v>NIFTYPSE</c:v>
                </c:pt>
                <c:pt idx="2">
                  <c:v>NIFTYENR</c:v>
                </c:pt>
                <c:pt idx="3">
                  <c:v>NIFTYREAL</c:v>
                </c:pt>
                <c:pt idx="4">
                  <c:v>NSEBANK</c:v>
                </c:pt>
                <c:pt idx="5">
                  <c:v>NIFTYINFR</c:v>
                </c:pt>
                <c:pt idx="6">
                  <c:v>NIFTYSER</c:v>
                </c:pt>
                <c:pt idx="7">
                  <c:v>NIFTYIT</c:v>
                </c:pt>
                <c:pt idx="8">
                  <c:v>NIFTYFMCG</c:v>
                </c:pt>
                <c:pt idx="9">
                  <c:v>NIPHARM</c:v>
                </c:pt>
              </c:strCache>
            </c:strRef>
          </c:cat>
          <c:val>
            <c:numRef>
              <c:f>'F4&amp;5 '!$B$5:$B$14</c:f>
              <c:numCache>
                <c:formatCode>0.0</c:formatCode>
                <c:ptCount val="10"/>
                <c:pt idx="0">
                  <c:v>18.053764748814018</c:v>
                </c:pt>
                <c:pt idx="1">
                  <c:v>10.734134168805198</c:v>
                </c:pt>
                <c:pt idx="2">
                  <c:v>10.414506047883943</c:v>
                </c:pt>
                <c:pt idx="3">
                  <c:v>8.57558139534882</c:v>
                </c:pt>
                <c:pt idx="4">
                  <c:v>8.3730911664399166</c:v>
                </c:pt>
                <c:pt idx="5">
                  <c:v>6.7799955589548766</c:v>
                </c:pt>
                <c:pt idx="6">
                  <c:v>6.0100404413477859</c:v>
                </c:pt>
                <c:pt idx="7">
                  <c:v>5.6521764542002639</c:v>
                </c:pt>
                <c:pt idx="8">
                  <c:v>4.8170250227148159</c:v>
                </c:pt>
                <c:pt idx="9">
                  <c:v>4.3246654416541297</c:v>
                </c:pt>
              </c:numCache>
            </c:numRef>
          </c:val>
          <c:extLst>
            <c:ext xmlns:c16="http://schemas.microsoft.com/office/drawing/2014/chart" uri="{C3380CC4-5D6E-409C-BE32-E72D297353CC}">
              <c16:uniqueId val="{00000000-F4D1-45E6-A35A-8964239BBEF5}"/>
            </c:ext>
          </c:extLst>
        </c:ser>
        <c:dLbls>
          <c:showLegendKey val="0"/>
          <c:showVal val="0"/>
          <c:showCatName val="0"/>
          <c:showSerName val="0"/>
          <c:showPercent val="0"/>
          <c:showBubbleSize val="0"/>
        </c:dLbls>
        <c:gapWidth val="219"/>
        <c:overlap val="-27"/>
        <c:axId val="312227960"/>
        <c:axId val="312229136"/>
      </c:barChart>
      <c:lineChart>
        <c:grouping val="standard"/>
        <c:varyColors val="0"/>
        <c:ser>
          <c:idx val="1"/>
          <c:order val="1"/>
          <c:tx>
            <c:strRef>
              <c:f>'F4&amp;5 '!$C$4</c:f>
              <c:strCache>
                <c:ptCount val="1"/>
                <c:pt idx="0">
                  <c:v>Volatility (RHS)</c:v>
                </c:pt>
              </c:strCache>
            </c:strRef>
          </c:tx>
          <c:spPr>
            <a:ln w="28575" cap="rnd">
              <a:solidFill>
                <a:srgbClr val="FF0000"/>
              </a:solidFill>
              <a:round/>
            </a:ln>
            <a:effectLst/>
          </c:spPr>
          <c:marker>
            <c:symbol val="none"/>
          </c:marker>
          <c:cat>
            <c:strRef>
              <c:f>'F4&amp;5 '!$A$5:$A$14</c:f>
              <c:strCache>
                <c:ptCount val="10"/>
                <c:pt idx="0">
                  <c:v>NIFTYPSU</c:v>
                </c:pt>
                <c:pt idx="1">
                  <c:v>NIFTYPSE</c:v>
                </c:pt>
                <c:pt idx="2">
                  <c:v>NIFTYENR</c:v>
                </c:pt>
                <c:pt idx="3">
                  <c:v>NIFTYREAL</c:v>
                </c:pt>
                <c:pt idx="4">
                  <c:v>NSEBANK</c:v>
                </c:pt>
                <c:pt idx="5">
                  <c:v>NIFTYINFR</c:v>
                </c:pt>
                <c:pt idx="6">
                  <c:v>NIFTYSER</c:v>
                </c:pt>
                <c:pt idx="7">
                  <c:v>NIFTYIT</c:v>
                </c:pt>
                <c:pt idx="8">
                  <c:v>NIFTYFMCG</c:v>
                </c:pt>
                <c:pt idx="9">
                  <c:v>NIPHARM</c:v>
                </c:pt>
              </c:strCache>
            </c:strRef>
          </c:cat>
          <c:val>
            <c:numRef>
              <c:f>'F4&amp;5 '!$C$5:$C$14</c:f>
              <c:numCache>
                <c:formatCode>0.0</c:formatCode>
                <c:ptCount val="10"/>
                <c:pt idx="0">
                  <c:v>1.7958566519185641</c:v>
                </c:pt>
                <c:pt idx="1">
                  <c:v>1.3906809220600076</c:v>
                </c:pt>
                <c:pt idx="2">
                  <c:v>0.94482384017302856</c:v>
                </c:pt>
                <c:pt idx="3">
                  <c:v>1.2890416528315496</c:v>
                </c:pt>
                <c:pt idx="4">
                  <c:v>1.4412490032074101</c:v>
                </c:pt>
                <c:pt idx="5">
                  <c:v>0.62712875222576525</c:v>
                </c:pt>
                <c:pt idx="6">
                  <c:v>0.95466940186842242</c:v>
                </c:pt>
                <c:pt idx="7">
                  <c:v>0.81819999876828442</c:v>
                </c:pt>
                <c:pt idx="8">
                  <c:v>0.62409323749736989</c:v>
                </c:pt>
                <c:pt idx="9">
                  <c:v>1.2900973271684582</c:v>
                </c:pt>
              </c:numCache>
            </c:numRef>
          </c:val>
          <c:smooth val="0"/>
          <c:extLst>
            <c:ext xmlns:c16="http://schemas.microsoft.com/office/drawing/2014/chart" uri="{C3380CC4-5D6E-409C-BE32-E72D297353CC}">
              <c16:uniqueId val="{00000001-F4D1-45E6-A35A-8964239BBEF5}"/>
            </c:ext>
          </c:extLst>
        </c:ser>
        <c:dLbls>
          <c:showLegendKey val="0"/>
          <c:showVal val="0"/>
          <c:showCatName val="0"/>
          <c:showSerName val="0"/>
          <c:showPercent val="0"/>
          <c:showBubbleSize val="0"/>
        </c:dLbls>
        <c:marker val="1"/>
        <c:smooth val="0"/>
        <c:axId val="592534744"/>
        <c:axId val="312228352"/>
      </c:lineChart>
      <c:catAx>
        <c:axId val="312227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29136"/>
        <c:crosses val="autoZero"/>
        <c:auto val="1"/>
        <c:lblAlgn val="ctr"/>
        <c:lblOffset val="100"/>
        <c:noMultiLvlLbl val="0"/>
      </c:catAx>
      <c:valAx>
        <c:axId val="312229136"/>
        <c:scaling>
          <c:orientation val="minMax"/>
          <c:max val="19"/>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12227960"/>
        <c:crosses val="autoZero"/>
        <c:crossBetween val="between"/>
      </c:valAx>
      <c:valAx>
        <c:axId val="3122283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34744"/>
        <c:crosses val="max"/>
        <c:crossBetween val="between"/>
        <c:majorUnit val="0.5"/>
      </c:valAx>
      <c:catAx>
        <c:axId val="592534744"/>
        <c:scaling>
          <c:orientation val="minMax"/>
        </c:scaling>
        <c:delete val="1"/>
        <c:axPos val="b"/>
        <c:numFmt formatCode="General" sourceLinked="1"/>
        <c:majorTickMark val="out"/>
        <c:minorTickMark val="none"/>
        <c:tickLblPos val="nextTo"/>
        <c:crossAx val="31222835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1333257938808"/>
          <c:y val="5.3641462625391004E-2"/>
          <c:w val="0.69482934920388084"/>
          <c:h val="0.59820767267105301"/>
        </c:manualLayout>
      </c:layout>
      <c:barChart>
        <c:barDir val="col"/>
        <c:grouping val="clustered"/>
        <c:varyColors val="0"/>
        <c:ser>
          <c:idx val="1"/>
          <c:order val="1"/>
          <c:tx>
            <c:strRef>
              <c:f>'F4 '!$E$1</c:f>
              <c:strCache>
                <c:ptCount val="1"/>
                <c:pt idx="0">
                  <c:v>ADNT at NSE (RHS)</c:v>
                </c:pt>
              </c:strCache>
            </c:strRef>
          </c:tx>
          <c:spPr>
            <a:solidFill>
              <a:srgbClr val="00B050"/>
            </a:solidFill>
            <a:ln>
              <a:noFill/>
            </a:ln>
            <a:effectLst/>
          </c:spPr>
          <c:invertIfNegative val="0"/>
          <c:cat>
            <c:numRef>
              <c:f>'F4 '!$A$3:$A$14</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'F4 '!$E$3:$E$14</c:f>
              <c:numCache>
                <c:formatCode>[&gt;=10000000]#\,##\,##\,##0;[&gt;=100000]#\,##\,##0;##,##0</c:formatCode>
                <c:ptCount val="12"/>
                <c:pt idx="0">
                  <c:v>1668626.379107326</c:v>
                </c:pt>
                <c:pt idx="1">
                  <c:v>1910248.1950051249</c:v>
                </c:pt>
                <c:pt idx="2">
                  <c:v>1877589.023486543</c:v>
                </c:pt>
                <c:pt idx="3">
                  <c:v>2157023.5625705258</c:v>
                </c:pt>
                <c:pt idx="4">
                  <c:v>2632458.2987257265</c:v>
                </c:pt>
                <c:pt idx="5">
                  <c:v>2844478.2670458574</c:v>
                </c:pt>
                <c:pt idx="6">
                  <c:v>3057374.9092755187</c:v>
                </c:pt>
                <c:pt idx="7">
                  <c:v>3595657.0081937932</c:v>
                </c:pt>
                <c:pt idx="8">
                  <c:v>4301098.4515000004</c:v>
                </c:pt>
                <c:pt idx="9">
                  <c:v>4438327.3871428566</c:v>
                </c:pt>
                <c:pt idx="10">
                  <c:v>4665024.3789473688</c:v>
                </c:pt>
                <c:pt idx="11">
                  <c:v>4332641.5880000005</c:v>
                </c:pt>
              </c:numCache>
            </c:numRef>
          </c:val>
          <c:extLst>
            <c:ext xmlns:c16="http://schemas.microsoft.com/office/drawing/2014/chart" uri="{C3380CC4-5D6E-409C-BE32-E72D297353CC}">
              <c16:uniqueId val="{00000000-6B83-4A1B-8924-E24B7DD34B22}"/>
            </c:ext>
          </c:extLst>
        </c:ser>
        <c:dLbls>
          <c:showLegendKey val="0"/>
          <c:showVal val="0"/>
          <c:showCatName val="0"/>
          <c:showSerName val="0"/>
          <c:showPercent val="0"/>
          <c:showBubbleSize val="0"/>
        </c:dLbls>
        <c:gapWidth val="219"/>
        <c:overlap val="-27"/>
        <c:axId val="592539448"/>
        <c:axId val="592537488"/>
      </c:barChart>
      <c:lineChart>
        <c:grouping val="standard"/>
        <c:varyColors val="0"/>
        <c:ser>
          <c:idx val="0"/>
          <c:order val="0"/>
          <c:tx>
            <c:strRef>
              <c:f>'F4 '!$D$1</c:f>
              <c:strCache>
                <c:ptCount val="1"/>
                <c:pt idx="0">
                  <c:v>ADNT at BSE (LHS)</c:v>
                </c:pt>
              </c:strCache>
            </c:strRef>
          </c:tx>
          <c:spPr>
            <a:ln w="28575" cap="rnd">
              <a:solidFill>
                <a:srgbClr val="FF0000"/>
              </a:solidFill>
              <a:round/>
            </a:ln>
            <a:effectLst/>
          </c:spPr>
          <c:marker>
            <c:symbol val="none"/>
          </c:marker>
          <c:cat>
            <c:numRef>
              <c:f>'F4 '!$A$3:$A$14</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'F4 '!$D$3:$D$14</c:f>
              <c:numCache>
                <c:formatCode>#,##0</c:formatCode>
                <c:ptCount val="12"/>
                <c:pt idx="0">
                  <c:v>7.0372727272727271</c:v>
                </c:pt>
                <c:pt idx="1">
                  <c:v>26196.207826086957</c:v>
                </c:pt>
                <c:pt idx="2">
                  <c:v>88005.567619047622</c:v>
                </c:pt>
                <c:pt idx="3">
                  <c:v>123934.84768617614</c:v>
                </c:pt>
                <c:pt idx="4">
                  <c:v>161548.20265396428</c:v>
                </c:pt>
                <c:pt idx="5">
                  <c:v>218924.7232084875</c:v>
                </c:pt>
                <c:pt idx="6">
                  <c:v>222827.48463496024</c:v>
                </c:pt>
                <c:pt idx="7">
                  <c:v>246651.46454715001</c:v>
                </c:pt>
                <c:pt idx="8">
                  <c:v>291858.57797283505</c:v>
                </c:pt>
                <c:pt idx="9">
                  <c:v>295833.62791219522</c:v>
                </c:pt>
                <c:pt idx="10">
                  <c:v>317790.11645149474</c:v>
                </c:pt>
                <c:pt idx="11">
                  <c:v>323982.19198160624</c:v>
                </c:pt>
              </c:numCache>
            </c:numRef>
          </c:val>
          <c:smooth val="0"/>
          <c:extLst>
            <c:ext xmlns:c16="http://schemas.microsoft.com/office/drawing/2014/chart" uri="{C3380CC4-5D6E-409C-BE32-E72D297353CC}">
              <c16:uniqueId val="{00000001-6B83-4A1B-8924-E24B7DD34B22}"/>
            </c:ext>
          </c:extLst>
        </c:ser>
        <c:dLbls>
          <c:showLegendKey val="0"/>
          <c:showVal val="0"/>
          <c:showCatName val="0"/>
          <c:showSerName val="0"/>
          <c:showPercent val="0"/>
          <c:showBubbleSize val="0"/>
        </c:dLbls>
        <c:marker val="1"/>
        <c:smooth val="0"/>
        <c:axId val="592536704"/>
        <c:axId val="592537096"/>
      </c:lineChart>
      <c:dateAx>
        <c:axId val="592536704"/>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37096"/>
        <c:crosses val="autoZero"/>
        <c:auto val="1"/>
        <c:lblOffset val="100"/>
        <c:baseTimeUnit val="months"/>
      </c:dateAx>
      <c:valAx>
        <c:axId val="59253709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BSE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36704"/>
        <c:crosses val="autoZero"/>
        <c:crossBetween val="between"/>
      </c:valAx>
      <c:valAx>
        <c:axId val="592537488"/>
        <c:scaling>
          <c:orientation val="minMax"/>
          <c:min val="1000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39448"/>
        <c:crosses val="max"/>
        <c:crossBetween val="between"/>
      </c:valAx>
      <c:dateAx>
        <c:axId val="592539448"/>
        <c:scaling>
          <c:orientation val="minMax"/>
        </c:scaling>
        <c:delete val="1"/>
        <c:axPos val="b"/>
        <c:numFmt formatCode="[$-409]mmm\-yy" sourceLinked="1"/>
        <c:majorTickMark val="out"/>
        <c:minorTickMark val="none"/>
        <c:tickLblPos val="nextTo"/>
        <c:crossAx val="592537488"/>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'F15'!$E$15</c:f>
              <c:strCache>
                <c:ptCount val="1"/>
                <c:pt idx="0">
                  <c:v>Apr-21</c:v>
                </c:pt>
              </c:strCache>
            </c:strRef>
          </c:tx>
          <c:spPr>
            <a:solidFill>
              <a:srgbClr val="FF000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'F15'!$F$14:$H$14</c:f>
              <c:strCache>
                <c:ptCount val="3"/>
                <c:pt idx="0">
                  <c:v>Weekly</c:v>
                </c:pt>
                <c:pt idx="1">
                  <c:v>1 Month</c:v>
                </c:pt>
                <c:pt idx="2">
                  <c:v>&gt; 1 Month</c:v>
                </c:pt>
              </c:strCache>
            </c:strRef>
          </c:cat>
          <c:val>
            <c:numRef>
              <c:f>'F15'!$F$15:$H$15</c:f>
              <c:numCache>
                <c:formatCode>#,##0.0</c:formatCode>
                <c:ptCount val="3"/>
                <c:pt idx="0">
                  <c:v>75.260205658566292</c:v>
                </c:pt>
                <c:pt idx="1">
                  <c:v>24.256752332062828</c:v>
                </c:pt>
                <c:pt idx="2">
                  <c:v>0.4830420093708635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B92-4A52-AC2E-819D8CACE086}"/>
            </c:ext>
          </c:extLst>
        </c:ser>
        <c:ser>
          <c:idx val="1"/>
          <c:order val="1"/>
          <c:tx>
            <c:strRef>
              <c:f>'F15'!$E$16</c:f>
              <c:strCache>
                <c:ptCount val="1"/>
                <c:pt idx="0">
                  <c:v>May-21</c:v>
                </c:pt>
              </c:strCache>
            </c:strRef>
          </c:tx>
          <c:spPr>
            <a:solidFill>
              <a:srgbClr val="00B05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'F15'!$F$14:$H$14</c:f>
              <c:strCache>
                <c:ptCount val="3"/>
                <c:pt idx="0">
                  <c:v>Weekly</c:v>
                </c:pt>
                <c:pt idx="1">
                  <c:v>1 Month</c:v>
                </c:pt>
                <c:pt idx="2">
                  <c:v>&gt; 1 Month</c:v>
                </c:pt>
              </c:strCache>
            </c:strRef>
          </c:cat>
          <c:val>
            <c:numRef>
              <c:f>'F15'!$F$16:$H$16</c:f>
              <c:numCache>
                <c:formatCode>#,##0.0</c:formatCode>
                <c:ptCount val="3"/>
                <c:pt idx="0">
                  <c:v>73.610317364298638</c:v>
                </c:pt>
                <c:pt idx="1">
                  <c:v>25.874368891141071</c:v>
                </c:pt>
                <c:pt idx="2">
                  <c:v>0.51531374456029555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8B92-4A52-AC2E-819D8CACE086}"/>
            </c:ext>
          </c:extLst>
        </c:ser>
        <c:dLbls>
          <c:showLegendKey val="0"/>
          <c:showVal val="0"/>
          <c:showCatName val="0"/>
          <c:showSerName val="0"/>
          <c:showPercent val="0"/>
          <c:showBubbleSize val="0"/>
        </c:dLbls>
        <c:gapWidth val="150"/>
        <c:axId val="592538272"/>
        <c:axId val="592535136"/>
      </c:barChart>
      <c:catAx>
        <c:axId val="592538272"/>
        <c:scaling>
          <c:orientation val="minMax"/>
        </c:scaling>
        <c:delete val="0"/>
        <c:axPos val="l"/>
        <c:numFmt formatCode="General" sourceLinked="1"/>
        <c:majorTickMark val="out"/>
        <c:minorTickMark val="cross"/>
        <c:tickLblPos val="nextTo"/>
        <c:crossAx val="592535136"/>
        <c:crosses val="autoZero"/>
        <c:auto val="1"/>
        <c:lblAlgn val="ctr"/>
        <c:lblOffset val="100"/>
        <c:noMultiLvlLbl val="1"/>
      </c:catAx>
      <c:valAx>
        <c:axId val="592535136"/>
        <c:scaling>
          <c:orientation val="minMax"/>
        </c:scaling>
        <c:delete val="1"/>
        <c:axPos val="t"/>
        <c:numFmt formatCode="#,##0.0" sourceLinked="1"/>
        <c:majorTickMark val="out"/>
        <c:minorTickMark val="cross"/>
        <c:tickLblPos val="nextTo"/>
        <c:crossAx val="592538272"/>
        <c:crosses val="max"/>
        <c:crossBetween val="between"/>
      </c:valAx>
    </c:plotArea>
    <c:legend>
      <c:legendPos val="b"/>
      <c:layout/>
      <c:overlay val="0"/>
    </c:legend>
    <c:plotVisOnly val="1"/>
    <c:dispBlanksAs val="zero"/>
    <c:showDLblsOverMax val="1"/>
  </c:chart>
  <c:spPr>
    <a:solidFill>
      <a:srgbClr val="FFFFFF"/>
    </a:solidFill>
  </c:spPr>
  <c:txPr>
    <a:bodyPr/>
    <a:lstStyle/>
    <a:p>
      <a:pPr>
        <a:defRPr sz="1000">
          <a:latin typeface="Palatino Linotype" panose="0204050205050503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'F6'!$C$2</c:f>
              <c:strCache>
                <c:ptCount val="1"/>
                <c:pt idx="0">
                  <c:v>NSE (LHS)</c:v>
                </c:pt>
              </c:strCache>
            </c:strRef>
          </c:tx>
          <c:spPr>
            <a:ln w="28575" cap="rnd">
              <a:solidFill>
                <a:schemeClr val="accent1"/>
              </a:solidFill>
              <a:round/>
            </a:ln>
            <a:effectLst/>
          </c:spPr>
          <c:marker>
            <c:symbol val="none"/>
          </c:marker>
          <c:cat>
            <c:numRef>
              <c:f>'F6'!$A$4:$A$15</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'F6'!$C$4:$C$15</c:f>
              <c:numCache>
                <c:formatCode>0\,00\,000;\-0\,00\,000;0</c:formatCode>
                <c:ptCount val="12"/>
                <c:pt idx="0" formatCode="[&gt;=10000000]#\,##\,##\,##0;[&gt;=100000]#\,##\,##0;##,##0">
                  <c:v>949170.06959089276</c:v>
                </c:pt>
                <c:pt idx="1">
                  <c:v>943395.67188321159</c:v>
                </c:pt>
                <c:pt idx="2">
                  <c:v>976864.32951144269</c:v>
                </c:pt>
                <c:pt idx="3">
                  <c:v>1120073.5900000001</c:v>
                </c:pt>
                <c:pt idx="4">
                  <c:v>977668.28209999995</c:v>
                </c:pt>
                <c:pt idx="5">
                  <c:v>1024112.012</c:v>
                </c:pt>
                <c:pt idx="6">
                  <c:v>1160618.8376070948</c:v>
                </c:pt>
                <c:pt idx="7">
                  <c:v>1001205.5174880214</c:v>
                </c:pt>
                <c:pt idx="8">
                  <c:v>1082488.916</c:v>
                </c:pt>
                <c:pt idx="9">
                  <c:v>1444570.959</c:v>
                </c:pt>
                <c:pt idx="10">
                  <c:v>1490637.77</c:v>
                </c:pt>
                <c:pt idx="11">
                  <c:v>1105377.56</c:v>
                </c:pt>
              </c:numCache>
            </c:numRef>
          </c:val>
          <c:smooth val="0"/>
          <c:extLst>
            <c:ext xmlns:c16="http://schemas.microsoft.com/office/drawing/2014/chart" uri="{C3380CC4-5D6E-409C-BE32-E72D297353CC}">
              <c16:uniqueId val="{00000000-CD29-4744-B72C-C442995D0B02}"/>
            </c:ext>
          </c:extLst>
        </c:ser>
        <c:ser>
          <c:idx val="3"/>
          <c:order val="2"/>
          <c:tx>
            <c:strRef>
              <c:f>'F6'!$B$2</c:f>
              <c:strCache>
                <c:ptCount val="1"/>
                <c:pt idx="0">
                  <c:v>BSE  (LHS)</c:v>
                </c:pt>
              </c:strCache>
            </c:strRef>
          </c:tx>
          <c:spPr>
            <a:ln w="28575" cap="rnd">
              <a:solidFill>
                <a:schemeClr val="accent4"/>
              </a:solidFill>
              <a:round/>
            </a:ln>
            <a:effectLst/>
          </c:spPr>
          <c:marker>
            <c:symbol val="none"/>
          </c:marker>
          <c:cat>
            <c:numRef>
              <c:f>'F6'!$A$4:$A$15</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'F6'!$B$4:$B$15</c:f>
              <c:numCache>
                <c:formatCode>0\,00\,000;\-0\,00\,000;0</c:formatCode>
                <c:ptCount val="12"/>
                <c:pt idx="0" formatCode="[&gt;=10000000]#\,##\,##\,##0;[&gt;=100000]#\,##\,##0;##,##0">
                  <c:v>467245.2</c:v>
                </c:pt>
                <c:pt idx="1">
                  <c:v>437166.34</c:v>
                </c:pt>
                <c:pt idx="2">
                  <c:v>451790.26</c:v>
                </c:pt>
                <c:pt idx="3">
                  <c:v>429477.39090000006</c:v>
                </c:pt>
                <c:pt idx="4">
                  <c:v>408890.7488</c:v>
                </c:pt>
                <c:pt idx="5">
                  <c:v>402246.89210000006</c:v>
                </c:pt>
                <c:pt idx="6">
                  <c:v>496940.56949999998</c:v>
                </c:pt>
                <c:pt idx="7" formatCode="#,##0">
                  <c:v>440262.21429999999</c:v>
                </c:pt>
                <c:pt idx="8">
                  <c:v>449170.83260000002</c:v>
                </c:pt>
                <c:pt idx="9">
                  <c:v>563283.70030000003</c:v>
                </c:pt>
                <c:pt idx="10">
                  <c:v>448635.7488</c:v>
                </c:pt>
                <c:pt idx="11">
                  <c:v>417945.56279999996</c:v>
                </c:pt>
              </c:numCache>
            </c:numRef>
          </c:val>
          <c:smooth val="0"/>
          <c:extLst>
            <c:ext xmlns:c16="http://schemas.microsoft.com/office/drawing/2014/chart" uri="{C3380CC4-5D6E-409C-BE32-E72D297353CC}">
              <c16:uniqueId val="{00000001-CD29-4744-B72C-C442995D0B02}"/>
            </c:ext>
          </c:extLst>
        </c:ser>
        <c:dLbls>
          <c:showLegendKey val="0"/>
          <c:showVal val="0"/>
          <c:showCatName val="0"/>
          <c:showSerName val="0"/>
          <c:showPercent val="0"/>
          <c:showBubbleSize val="0"/>
        </c:dLbls>
        <c:marker val="1"/>
        <c:smooth val="0"/>
        <c:axId val="592539840"/>
        <c:axId val="592534352"/>
      </c:lineChart>
      <c:lineChart>
        <c:grouping val="standard"/>
        <c:varyColors val="0"/>
        <c:ser>
          <c:idx val="1"/>
          <c:order val="1"/>
          <c:tx>
            <c:strRef>
              <c:f>'F6'!$D$2</c:f>
              <c:strCache>
                <c:ptCount val="1"/>
                <c:pt idx="0">
                  <c:v>MSEI (RHS)</c:v>
                </c:pt>
              </c:strCache>
            </c:strRef>
          </c:tx>
          <c:spPr>
            <a:ln w="28575" cap="rnd">
              <a:solidFill>
                <a:schemeClr val="accent2"/>
              </a:solidFill>
              <a:round/>
            </a:ln>
            <a:effectLst/>
          </c:spPr>
          <c:marker>
            <c:symbol val="none"/>
          </c:marker>
          <c:cat>
            <c:numRef>
              <c:f>'F6'!$A$4:$A$15</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'F6'!$D$4:$D$15</c:f>
              <c:numCache>
                <c:formatCode>#,##0;\-#,##0;0</c:formatCode>
                <c:ptCount val="12"/>
                <c:pt idx="0" formatCode="[&gt;=10000000]#\,##\,##\,##0;[&gt;=100000]#\,##\,##0;##,##0">
                  <c:v>2854.2512265</c:v>
                </c:pt>
                <c:pt idx="1">
                  <c:v>4064.4222235000007</c:v>
                </c:pt>
                <c:pt idx="2">
                  <c:v>5291.3987129999996</c:v>
                </c:pt>
                <c:pt idx="3">
                  <c:v>6888.6162975000007</c:v>
                </c:pt>
                <c:pt idx="4">
                  <c:v>9075.2012660000019</c:v>
                </c:pt>
                <c:pt idx="5">
                  <c:v>12344.712834499998</c:v>
                </c:pt>
                <c:pt idx="6">
                  <c:v>14310.276320249999</c:v>
                </c:pt>
                <c:pt idx="7">
                  <c:v>13562.270864749999</c:v>
                </c:pt>
                <c:pt idx="8">
                  <c:v>12191.89372125</c:v>
                </c:pt>
                <c:pt idx="9">
                  <c:v>14323.94781</c:v>
                </c:pt>
                <c:pt idx="10">
                  <c:v>9625.6356357500008</c:v>
                </c:pt>
                <c:pt idx="11">
                  <c:v>12607.516215999998</c:v>
                </c:pt>
              </c:numCache>
            </c:numRef>
          </c:val>
          <c:smooth val="0"/>
          <c:extLst>
            <c:ext xmlns:c16="http://schemas.microsoft.com/office/drawing/2014/chart" uri="{C3380CC4-5D6E-409C-BE32-E72D297353CC}">
              <c16:uniqueId val="{00000002-CD29-4744-B72C-C442995D0B02}"/>
            </c:ext>
          </c:extLst>
        </c:ser>
        <c:dLbls>
          <c:showLegendKey val="0"/>
          <c:showVal val="0"/>
          <c:showCatName val="0"/>
          <c:showSerName val="0"/>
          <c:showPercent val="0"/>
          <c:showBubbleSize val="0"/>
        </c:dLbls>
        <c:marker val="1"/>
        <c:smooth val="0"/>
        <c:axId val="593174880"/>
        <c:axId val="592541016"/>
      </c:lineChart>
      <c:dateAx>
        <c:axId val="59253984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34352"/>
        <c:crosses val="autoZero"/>
        <c:auto val="1"/>
        <c:lblOffset val="100"/>
        <c:baseTimeUnit val="months"/>
      </c:dateAx>
      <c:valAx>
        <c:axId val="592534352"/>
        <c:scaling>
          <c:orientation val="minMax"/>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2539840"/>
        <c:crosses val="autoZero"/>
        <c:crossBetween val="between"/>
      </c:valAx>
      <c:valAx>
        <c:axId val="592541016"/>
        <c:scaling>
          <c:orientation val="minMax"/>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74880"/>
        <c:crosses val="max"/>
        <c:crossBetween val="between"/>
      </c:valAx>
      <c:dateAx>
        <c:axId val="593174880"/>
        <c:scaling>
          <c:orientation val="minMax"/>
        </c:scaling>
        <c:delete val="1"/>
        <c:axPos val="b"/>
        <c:numFmt formatCode="[$-409]mmm\-yy" sourceLinked="1"/>
        <c:majorTickMark val="out"/>
        <c:minorTickMark val="none"/>
        <c:tickLblPos val="nextTo"/>
        <c:crossAx val="592541016"/>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'F7'!$B$2</c:f>
              <c:strCache>
                <c:ptCount val="1"/>
                <c:pt idx="0">
                  <c:v>BSE</c:v>
                </c:pt>
              </c:strCache>
            </c:strRef>
          </c:tx>
          <c:spPr>
            <a:ln w="28575" cap="rnd">
              <a:solidFill>
                <a:schemeClr val="accent1"/>
              </a:solidFill>
              <a:round/>
            </a:ln>
            <a:effectLst/>
          </c:spPr>
          <c:marker>
            <c:symbol val="none"/>
          </c:marker>
          <c:cat>
            <c:numRef>
              <c:f>'F7'!$A$4:$A$15</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'F7'!$B$4:$B$15</c:f>
              <c:numCache>
                <c:formatCode>#,##0;\-#,##0;0</c:formatCode>
                <c:ptCount val="12"/>
                <c:pt idx="0">
                  <c:v>4307.7403000000004</c:v>
                </c:pt>
                <c:pt idx="1">
                  <c:v>4082.3089</c:v>
                </c:pt>
                <c:pt idx="2">
                  <c:v>1339.4258</c:v>
                </c:pt>
                <c:pt idx="3">
                  <c:v>618.83699999999999</c:v>
                </c:pt>
                <c:pt idx="4">
                  <c:v>1949.4366000000005</c:v>
                </c:pt>
                <c:pt idx="5">
                  <c:v>3284.3459999999995</c:v>
                </c:pt>
                <c:pt idx="6">
                  <c:v>1087.3935000000001</c:v>
                </c:pt>
                <c:pt idx="7">
                  <c:v>1100.9360999999999</c:v>
                </c:pt>
                <c:pt idx="8">
                  <c:v>5520.3626999999997</c:v>
                </c:pt>
                <c:pt idx="9">
                  <c:v>14649.4748</c:v>
                </c:pt>
                <c:pt idx="10">
                  <c:v>155.46360000000001</c:v>
                </c:pt>
                <c:pt idx="11">
                  <c:v>2276.2072000000003</c:v>
                </c:pt>
              </c:numCache>
            </c:numRef>
          </c:val>
          <c:smooth val="0"/>
          <c:extLst>
            <c:ext xmlns:c16="http://schemas.microsoft.com/office/drawing/2014/chart" uri="{C3380CC4-5D6E-409C-BE32-E72D297353CC}">
              <c16:uniqueId val="{00000000-8878-4B85-85FC-FC1983482342}"/>
            </c:ext>
          </c:extLst>
        </c:ser>
        <c:ser>
          <c:idx val="1"/>
          <c:order val="1"/>
          <c:tx>
            <c:strRef>
              <c:f>'F7'!$C$2</c:f>
              <c:strCache>
                <c:ptCount val="1"/>
                <c:pt idx="0">
                  <c:v>NSE</c:v>
                </c:pt>
              </c:strCache>
            </c:strRef>
          </c:tx>
          <c:spPr>
            <a:ln w="28575" cap="rnd">
              <a:solidFill>
                <a:schemeClr val="accent2"/>
              </a:solidFill>
              <a:round/>
            </a:ln>
            <a:effectLst/>
          </c:spPr>
          <c:marker>
            <c:symbol val="none"/>
          </c:marker>
          <c:cat>
            <c:numRef>
              <c:f>'F7'!$A$4:$A$15</c:f>
              <c:numCache>
                <c:formatCode>[$-409]mmm\-yy</c:formatCode>
                <c:ptCount val="12"/>
                <c:pt idx="0">
                  <c:v>43992</c:v>
                </c:pt>
                <c:pt idx="1">
                  <c:v>44022</c:v>
                </c:pt>
                <c:pt idx="2">
                  <c:v>44053</c:v>
                </c:pt>
                <c:pt idx="3">
                  <c:v>44084</c:v>
                </c:pt>
                <c:pt idx="4">
                  <c:v>44114</c:v>
                </c:pt>
                <c:pt idx="5">
                  <c:v>44145</c:v>
                </c:pt>
                <c:pt idx="6">
                  <c:v>44175</c:v>
                </c:pt>
                <c:pt idx="7">
                  <c:v>44206</c:v>
                </c:pt>
                <c:pt idx="8">
                  <c:v>44237</c:v>
                </c:pt>
                <c:pt idx="9">
                  <c:v>44265</c:v>
                </c:pt>
                <c:pt idx="10">
                  <c:v>44296</c:v>
                </c:pt>
                <c:pt idx="11">
                  <c:v>44317</c:v>
                </c:pt>
              </c:numCache>
            </c:numRef>
          </c:cat>
          <c:val>
            <c:numRef>
              <c:f>'F7'!$C$4:$C$15</c:f>
              <c:numCache>
                <c:formatCode>#,##0;\-#,##0;0</c:formatCode>
                <c:ptCount val="12"/>
                <c:pt idx="0">
                  <c:v>16790.040404000003</c:v>
                </c:pt>
                <c:pt idx="1">
                  <c:v>11477.779758999999</c:v>
                </c:pt>
                <c:pt idx="2">
                  <c:v>8836.0223354999998</c:v>
                </c:pt>
                <c:pt idx="3">
                  <c:v>7968.2005550000003</c:v>
                </c:pt>
                <c:pt idx="4">
                  <c:v>5969.361613</c:v>
                </c:pt>
                <c:pt idx="5">
                  <c:v>3735.2176584999997</c:v>
                </c:pt>
                <c:pt idx="6">
                  <c:v>5464.1321635000004</c:v>
                </c:pt>
                <c:pt idx="7">
                  <c:v>4093.5442204999999</c:v>
                </c:pt>
                <c:pt idx="8">
                  <c:v>6734.7814850000004</c:v>
                </c:pt>
                <c:pt idx="9">
                  <c:v>4389.8273959999997</c:v>
                </c:pt>
                <c:pt idx="10">
                  <c:v>2364.85</c:v>
                </c:pt>
                <c:pt idx="11">
                  <c:v>2810.9</c:v>
                </c:pt>
              </c:numCache>
            </c:numRef>
          </c:val>
          <c:smooth val="0"/>
          <c:extLst>
            <c:ext xmlns:c16="http://schemas.microsoft.com/office/drawing/2014/chart" uri="{C3380CC4-5D6E-409C-BE32-E72D297353CC}">
              <c16:uniqueId val="{00000001-8878-4B85-85FC-FC1983482342}"/>
            </c:ext>
          </c:extLst>
        </c:ser>
        <c:dLbls>
          <c:showLegendKey val="0"/>
          <c:showVal val="0"/>
          <c:showCatName val="0"/>
          <c:showSerName val="0"/>
          <c:showPercent val="0"/>
          <c:showBubbleSize val="0"/>
        </c:dLbls>
        <c:smooth val="0"/>
        <c:axId val="593170960"/>
        <c:axId val="593175272"/>
      </c:lineChart>
      <c:dateAx>
        <c:axId val="59317096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75272"/>
        <c:crosses val="autoZero"/>
        <c:auto val="1"/>
        <c:lblOffset val="100"/>
        <c:baseTimeUnit val="months"/>
      </c:dateAx>
      <c:valAx>
        <c:axId val="59317527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93170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Klassify>
  <SNO>6</SNO>
  <KDate>2021-03-04 13:03:23</KDate>
  <Classification>SEBI-PUBLIC</Classification>
  <HostName>MUM0111649</HostName>
  <Domain_User>SEBINT/1649</Domain_User>
  <IPAdd>10.88.99.116</IPAdd>
  <FilePath>C:\Users\1649\Desktop\Bulletin Feb 2021\Bulletin Files\Bulletin-February 2021 Revised.docx</FilePath>
  <KID>7427EA48EFCA637066619672483538</KID>
  <UniqueName/>
  <Suggested/>
  <Justification/>
</Klassify>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Klassify>
  <SNO>4</SNO>
  <KDate>2021-03-04 12:07:01</KDate>
  <Classification>SEBI-INTERNAL</Classification>
  <HostName>MUM0111649</HostName>
  <Domain_User>SEBINT/1649</Domain_User>
  <IPAdd>10.88.99.116</IPAdd>
  <FilePath>C:\Users\1649\AppData\Roaming\Klassify\83779\Bulletin-February 2021.docx</FilePath>
  <KID>7427EA48EFCA637066619672483538</KID>
</Klassify>
</file>

<file path=customXml/item3.xml><?xml version="1.0" encoding="utf-8"?>
<Klassify>
  <SNO>5</SNO>
  <KDate>2021-03-04 12:15:09</KDate>
  <Classification>SEBI-INTERNAL</Classification>
  <HostName>MUM0111832</HostName>
  <Domain_User>SEBINT/1832</Domain_User>
  <IPAdd>10.88.99.209</IPAdd>
  <FilePath>C:\Users\1832\AppData\Roaming\Klassify\57909\Bulletin-February 2021.docx</FilePath>
  <KID>7427EA48EFCA637066619672483538</KID>
</Klassify>
</file>

<file path=customXml/item4.xml>
</file>

<file path=customXml/item5.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6.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7.xml><?xml version="1.0" encoding="utf-8"?>
<Klassify>
  <SNO>3</SNO>
  <KDate>2021-03-03 12:56:47</KDate>
  <Classification>SEBI-INTERNAL</Classification>
  <HostName>MUM0111564</HostName>
  <Domain_User>SEBINT/1564</Domain_User>
  <IPAdd>10.88.101.238</IPAdd>
  <FilePath>C:\Users\1564\AppData\Roaming\Klassify\47103\Bulletin-February 2021.docx</FilePath>
  <KID>7427EA48EFCA637066619672483538</KID>
</Klassify>
</file>

<file path=customXml/item8.xml>
</file>

<file path=customXml/item9.xml>
</file>

<file path=customXml/itemProps1.xml><?xml version="1.0" encoding="utf-8"?>
<ds:datastoreItem xmlns:ds="http://schemas.openxmlformats.org/officeDocument/2006/customXml" ds:itemID="{2C38164C-8094-471D-AC2C-77D018C8E0F2}">
  <ds:schemaRefs/>
</ds:datastoreItem>
</file>

<file path=customXml/itemProps10.xml><?xml version="1.0" encoding="utf-8"?>
<ds:datastoreItem xmlns:ds="http://schemas.openxmlformats.org/officeDocument/2006/customXml" ds:itemID="{C4031041-8892-42A4-B7C7-E1AC66FFD559}">
  <ds:schemaRefs>
    <ds:schemaRef ds:uri="http://schemas.openxmlformats.org/officeDocument/2006/bibliography"/>
  </ds:schemaRefs>
</ds:datastoreItem>
</file>

<file path=customXml/itemProps2.xml><?xml version="1.0" encoding="utf-8"?>
<ds:datastoreItem xmlns:ds="http://schemas.openxmlformats.org/officeDocument/2006/customXml" ds:itemID="{D7543C77-5EBC-46F2-AC21-5D702358D3EF}">
  <ds:schemaRefs/>
</ds:datastoreItem>
</file>

<file path=customXml/itemProps3.xml><?xml version="1.0" encoding="utf-8"?>
<ds:datastoreItem xmlns:ds="http://schemas.openxmlformats.org/officeDocument/2006/customXml" ds:itemID="{D7543C77-5EBC-46F2-AC21-5D702358D3EF}">
  <ds:schemaRefs/>
</ds:datastoreItem>
</file>

<file path=customXml/itemProps4.xml><?xml version="1.0" encoding="utf-8"?>
<ds:datastoreItem xmlns:ds="http://schemas.openxmlformats.org/officeDocument/2006/customXml" ds:itemID="{FFFCDC47-2152-406C-A3E3-98A02192763B}"/>
</file>

<file path=customXml/itemProps5.xml><?xml version="1.0" encoding="utf-8"?>
<ds:datastoreItem xmlns:ds="http://schemas.openxmlformats.org/officeDocument/2006/customXml" ds:itemID="{AC874CF5-52D4-4685-80EC-6F1B86646A89}">
  <ds:schemaRefs/>
</ds:datastoreItem>
</file>

<file path=customXml/itemProps6.xml><?xml version="1.0" encoding="utf-8"?>
<ds:datastoreItem xmlns:ds="http://schemas.openxmlformats.org/officeDocument/2006/customXml" ds:itemID="{982F008C-5608-4977-B1FB-BF780A09BDC2}">
  <ds:schemaRefs/>
</ds:datastoreItem>
</file>

<file path=customXml/itemProps7.xml><?xml version="1.0" encoding="utf-8"?>
<ds:datastoreItem xmlns:ds="http://schemas.openxmlformats.org/officeDocument/2006/customXml" ds:itemID="{D7543C77-5EBC-46F2-AC21-5D702358D3EF}">
  <ds:schemaRefs/>
</ds:datastoreItem>
</file>

<file path=customXml/itemProps8.xml><?xml version="1.0" encoding="utf-8"?>
<ds:datastoreItem xmlns:ds="http://schemas.openxmlformats.org/officeDocument/2006/customXml" ds:itemID="{F1A90E88-F8CE-47CC-B1F2-2802B9D4F2FE}"/>
</file>

<file path=customXml/itemProps9.xml><?xml version="1.0" encoding="utf-8"?>
<ds:datastoreItem xmlns:ds="http://schemas.openxmlformats.org/officeDocument/2006/customXml" ds:itemID="{8A5DE7B4-0207-485C-AD2D-76752FDBC33F}"/>
</file>

<file path=docProps/app.xml><?xml version="1.0" encoding="utf-8"?>
<Properties xmlns="http://schemas.openxmlformats.org/officeDocument/2006/extended-properties" xmlns:vt="http://schemas.openxmlformats.org/officeDocument/2006/docPropsVTypes">
  <Template>Normal.dotm</Template>
  <TotalTime>1</TotalTime>
  <Pages>49</Pages>
  <Words>11411</Words>
  <Characters>65049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Nilima Karandikar</cp:lastModifiedBy>
  <cp:revision>2</cp:revision>
  <cp:lastPrinted>2021-01-25T05:51:00Z</cp:lastPrinted>
  <dcterms:created xsi:type="dcterms:W3CDTF">2021-08-13T12:24:00Z</dcterms:created>
  <dcterms:modified xsi:type="dcterms:W3CDTF">2021-08-13T12:24:00Z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les">
    <vt:lpwstr/>
  </property>
  <property fmtid="{D5CDD505-2E9C-101B-9397-08002B2CF9AE}" pid="3" name="Classification">
    <vt:lpwstr>SEBI-PUBLIC</vt:lpwstr>
  </property>
  <property fmtid="{D5CDD505-2E9C-101B-9397-08002B2CF9AE}" pid="4" name="KID">
    <vt:lpwstr>7427EA48EFCA637066619672483538</vt:lpwstr>
  </property>
</Properties>
</file>